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produktmanažer</w:t>
      </w:r>
      <w:bookmarkEnd w:id="1"/>
    </w:p>
    <w:p>
      <w:pPr/>
      <w:r>
        <w:rPr/>
        <w:t xml:space="preserve">Chemický technik produktmanažer se orientuje v sortimentu chemických produktů a zajišťuje administrativní podporu a přípravu jejich prodeje a přepravy.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Chemik - prodejce junior, Asistent chemického prodeje, Administrátor prodeje chemických produktů, Referent chemického prodeje</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Administrativní podpora prodeje přiděleného chemického portfolia.</w:t>
      </w:r>
    </w:p>
    <w:p>
      <w:pPr>
        <w:numPr>
          <w:ilvl w:val="0"/>
          <w:numId w:val="5"/>
        </w:numPr>
      </w:pPr>
      <w:r>
        <w:rPr/>
        <w:t xml:space="preserve">Zpracování podkladů pro jednání se zákazníky a obchodními partnery tuzemskými i zahraničními.</w:t>
      </w:r>
    </w:p>
    <w:p>
      <w:pPr>
        <w:numPr>
          <w:ilvl w:val="0"/>
          <w:numId w:val="5"/>
        </w:numPr>
      </w:pPr>
      <w:r>
        <w:rPr/>
        <w:t xml:space="preserve">Příprava podkladů pro vyřizování reklamací.</w:t>
      </w:r>
    </w:p>
    <w:p>
      <w:pPr>
        <w:numPr>
          <w:ilvl w:val="0"/>
          <w:numId w:val="5"/>
        </w:numPr>
      </w:pPr>
      <w:r>
        <w:rPr/>
        <w:t xml:space="preserve">Příprava podkladů pro zpracování obchodního plánu v rámci příslušného chemického výrobkového portfolia.</w:t>
      </w:r>
    </w:p>
    <w:p>
      <w:pPr>
        <w:numPr>
          <w:ilvl w:val="0"/>
          <w:numId w:val="5"/>
        </w:numPr>
      </w:pPr>
      <w:r>
        <w:rPr/>
        <w:t xml:space="preserve">Provádění průzkumu trhu a hledání potenciálních klientů v oblasti příslušného výrobkového portfolia.</w:t>
      </w:r>
    </w:p>
    <w:p>
      <w:pPr>
        <w:numPr>
          <w:ilvl w:val="0"/>
          <w:numId w:val="5"/>
        </w:numPr>
      </w:pPr>
      <w:r>
        <w:rPr/>
        <w:t xml:space="preserve">Zpracování statistik prodeje přiděleného portfolia chemických produktů.</w:t>
      </w:r>
    </w:p>
    <w:p>
      <w:pPr>
        <w:numPr>
          <w:ilvl w:val="0"/>
          <w:numId w:val="5"/>
        </w:numPr>
      </w:pPr>
      <w:r>
        <w:rPr/>
        <w:t xml:space="preserve">Evidování objednávek a kupních smluv v rámci produktového portfolia.</w:t>
      </w:r>
    </w:p>
    <w:p/>
    <w:p>
      <w:pPr>
        <w:pStyle w:val="Heading2"/>
      </w:pPr>
      <w:bookmarkStart w:id="3" w:name="_Toc3"/>
      <w:r>
        <w:t>CZ-ISCO</w:t>
      </w:r>
      <w:bookmarkEnd w:id="3"/>
    </w:p>
    <w:p>
      <w:pPr>
        <w:numPr>
          <w:ilvl w:val="0"/>
          <w:numId w:val="5"/>
        </w:numPr>
      </w:pPr>
      <w:r>
        <w:rPr/>
        <w:t xml:space="preserve">Obchodní referenti</w:t>
      </w:r>
    </w:p>
    <w:p>
      <w:pPr>
        <w:numPr>
          <w:ilvl w:val="0"/>
          <w:numId w:val="5"/>
        </w:numPr>
      </w:pPr>
      <w:r>
        <w:rPr/>
        <w:t xml:space="preserve">Zprostředkovatelé služeb jinde neuvedení</w:t>
      </w:r>
    </w:p>
    <w:p/>
    <w:p>
      <w:pPr>
        <w:pStyle w:val="Heading3"/>
      </w:pPr>
      <w:bookmarkStart w:id="4" w:name="_Toc4"/>
      <w:r>
        <w:t>Hrubé měsíční mzdy podle krajů v roce 2020</w:t>
      </w:r>
      <w:bookmarkEnd w:id="4"/>
    </w:p>
    <w:p>
      <w:pPr>
        <w:pStyle w:val="Heading4"/>
      </w:pPr>
      <w:bookmarkStart w:id="5" w:name="_Toc5"/>
      <w:r>
        <w:t>Zprostředkovatelé služeb jinde neuvedení (CZ-ISCO 3339)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18 203 Kč</w:t>
            </w:r>
          </w:p>
        </w:tc>
        <w:tc>
          <w:tcPr>
            <w:tcW w:w="1000" w:type="dxa"/>
          </w:tcPr>
          <w:p>
            <w:pPr>
              <w:jc w:val="center"/>
            </w:pPr>
            <w:r>
              <w:rPr/>
              <w:t xml:space="preserve">34 228 Kč</w:t>
            </w:r>
          </w:p>
        </w:tc>
        <w:tc>
          <w:tcPr>
            <w:tcW w:w="1000" w:type="dxa"/>
          </w:tcPr>
          <w:p>
            <w:pPr>
              <w:jc w:val="center"/>
            </w:pPr>
            <w:r>
              <w:rPr/>
              <w:t xml:space="preserve">55 941 Kč</w:t>
            </w:r>
          </w:p>
        </w:tc>
        <w:tc>
          <w:tcPr>
            <w:tcW w:w="1000" w:type="dxa"/>
          </w:tcPr>
          <w:p>
            <w:pPr>
              <w:jc w:val="center"/>
            </w:pPr>
            <w:r>
              <w:rPr/>
              <w:t xml:space="preserve">30 301 Kč</w:t>
            </w:r>
          </w:p>
        </w:tc>
        <w:tc>
          <w:tcPr>
            <w:tcW w:w="1000" w:type="dxa"/>
          </w:tcPr>
          <w:p>
            <w:pPr>
              <w:jc w:val="center"/>
            </w:pPr>
            <w:r>
              <w:rPr/>
              <w:t xml:space="preserve">38 120 Kč</w:t>
            </w:r>
          </w:p>
        </w:tc>
        <w:tc>
          <w:tcPr>
            <w:tcW w:w="1000" w:type="dxa"/>
          </w:tcPr>
          <w:p>
            <w:pPr>
              <w:jc w:val="center"/>
            </w:pPr>
            <w:r>
              <w:rPr/>
              <w:t xml:space="preserve">51 590 Kč</w:t>
            </w:r>
          </w:p>
        </w:tc>
      </w:tr>
      <w:tr>
        <w:trPr/>
        <w:tc>
          <w:tcPr>
            <w:tcW w:w="2000" w:type="dxa"/>
          </w:tcPr>
          <w:p>
            <w:pPr/>
            <w:r>
              <w:rPr/>
              <w:t xml:space="preserve">Středočeský kraj</w:t>
            </w:r>
          </w:p>
        </w:tc>
        <w:tc>
          <w:tcPr>
            <w:tcW w:w="1000" w:type="dxa"/>
          </w:tcPr>
          <w:p>
            <w:pPr>
              <w:jc w:val="center"/>
            </w:pPr>
            <w:r>
              <w:rPr/>
              <w:t xml:space="preserve">20 731 Kč</w:t>
            </w:r>
          </w:p>
        </w:tc>
        <w:tc>
          <w:tcPr>
            <w:tcW w:w="1000" w:type="dxa"/>
          </w:tcPr>
          <w:p>
            <w:pPr>
              <w:jc w:val="center"/>
            </w:pPr>
            <w:r>
              <w:rPr/>
              <w:t xml:space="preserve">34 182 Kč</w:t>
            </w:r>
          </w:p>
        </w:tc>
        <w:tc>
          <w:tcPr>
            <w:tcW w:w="1000" w:type="dxa"/>
          </w:tcPr>
          <w:p>
            <w:pPr>
              <w:jc w:val="center"/>
            </w:pPr>
            <w:r>
              <w:rPr/>
              <w:t xml:space="preserve">57 954 Kč</w:t>
            </w:r>
          </w:p>
        </w:tc>
        <w:tc>
          <w:tcPr>
            <w:tcW w:w="1000" w:type="dxa"/>
          </w:tcPr>
          <w:p>
            <w:pPr>
              <w:jc w:val="center"/>
            </w:pPr>
            <w:r>
              <w:rPr/>
              <w:t xml:space="preserve">26 003 Kč</w:t>
            </w:r>
          </w:p>
        </w:tc>
        <w:tc>
          <w:tcPr>
            <w:tcW w:w="1000" w:type="dxa"/>
          </w:tcPr>
          <w:p>
            <w:pPr>
              <w:jc w:val="center"/>
            </w:pPr>
            <w:r>
              <w:rPr/>
              <w:t xml:space="preserve">33 578 Kč</w:t>
            </w:r>
          </w:p>
        </w:tc>
        <w:tc>
          <w:tcPr>
            <w:tcW w:w="1000" w:type="dxa"/>
          </w:tcPr>
          <w:p>
            <w:pPr>
              <w:jc w:val="center"/>
            </w:pPr>
            <w:r>
              <w:rPr/>
              <w:t xml:space="preserve">42 430 Kč</w:t>
            </w:r>
          </w:p>
        </w:tc>
      </w:tr>
      <w:tr>
        <w:trPr/>
        <w:tc>
          <w:tcPr>
            <w:tcW w:w="2000" w:type="dxa"/>
          </w:tcPr>
          <w:p>
            <w:pPr/>
            <w:r>
              <w:rPr/>
              <w:t xml:space="preserve">Jihočeský kraj</w:t>
            </w:r>
          </w:p>
        </w:tc>
        <w:tc>
          <w:tcPr>
            <w:tcW w:w="1000" w:type="dxa"/>
          </w:tcPr>
          <w:p>
            <w:pPr>
              <w:jc w:val="center"/>
            </w:pPr>
            <w:r>
              <w:rPr/>
              <w:t xml:space="preserve">23 155 Kč</w:t>
            </w:r>
          </w:p>
        </w:tc>
        <w:tc>
          <w:tcPr>
            <w:tcW w:w="1000" w:type="dxa"/>
          </w:tcPr>
          <w:p>
            <w:pPr>
              <w:jc w:val="center"/>
            </w:pPr>
            <w:r>
              <w:rPr/>
              <w:t xml:space="preserve">30 989 Kč</w:t>
            </w:r>
          </w:p>
        </w:tc>
        <w:tc>
          <w:tcPr>
            <w:tcW w:w="1000" w:type="dxa"/>
          </w:tcPr>
          <w:p>
            <w:pPr>
              <w:jc w:val="center"/>
            </w:pPr>
            <w:r>
              <w:rPr/>
              <w:t xml:space="preserve">47 871 Kč</w:t>
            </w:r>
          </w:p>
        </w:tc>
        <w:tc>
          <w:tcPr>
            <w:tcW w:w="1000" w:type="dxa"/>
          </w:tcPr>
          <w:p>
            <w:pPr>
              <w:jc w:val="center"/>
            </w:pPr>
            <w:r>
              <w:rPr/>
              <w:t xml:space="preserve">23 837 Kč</w:t>
            </w:r>
          </w:p>
        </w:tc>
        <w:tc>
          <w:tcPr>
            <w:tcW w:w="1000" w:type="dxa"/>
          </w:tcPr>
          <w:p>
            <w:pPr>
              <w:jc w:val="center"/>
            </w:pPr>
            <w:r>
              <w:rPr/>
              <w:t xml:space="preserve">31 945 Kč</w:t>
            </w:r>
          </w:p>
        </w:tc>
        <w:tc>
          <w:tcPr>
            <w:tcW w:w="1000" w:type="dxa"/>
          </w:tcPr>
          <w:p>
            <w:pPr>
              <w:jc w:val="center"/>
            </w:pPr>
            <w:r>
              <w:rPr/>
              <w:t xml:space="preserve">40 449 Kč</w:t>
            </w:r>
          </w:p>
        </w:tc>
      </w:tr>
      <w:tr>
        <w:trPr/>
        <w:tc>
          <w:tcPr>
            <w:tcW w:w="2000" w:type="dxa"/>
          </w:tcPr>
          <w:p>
            <w:pPr/>
            <w:r>
              <w:rPr/>
              <w:t xml:space="preserve">Plzeňský kraj</w:t>
            </w:r>
          </w:p>
        </w:tc>
        <w:tc>
          <w:tcPr>
            <w:tcW w:w="1000" w:type="dxa"/>
          </w:tcPr>
          <w:p>
            <w:pPr>
              <w:jc w:val="center"/>
            </w:pPr>
            <w:r>
              <w:rPr/>
              <w:t xml:space="preserve">16 802 Kč</w:t>
            </w:r>
          </w:p>
        </w:tc>
        <w:tc>
          <w:tcPr>
            <w:tcW w:w="1000" w:type="dxa"/>
          </w:tcPr>
          <w:p>
            <w:pPr>
              <w:jc w:val="center"/>
            </w:pPr>
            <w:r>
              <w:rPr/>
              <w:t xml:space="preserve">33 259 Kč</w:t>
            </w:r>
          </w:p>
        </w:tc>
        <w:tc>
          <w:tcPr>
            <w:tcW w:w="1000" w:type="dxa"/>
          </w:tcPr>
          <w:p>
            <w:pPr>
              <w:jc w:val="center"/>
            </w:pPr>
            <w:r>
              <w:rPr/>
              <w:t xml:space="preserve">51 317 Kč</w:t>
            </w:r>
          </w:p>
        </w:tc>
        <w:tc>
          <w:tcPr>
            <w:tcW w:w="1000" w:type="dxa"/>
          </w:tcPr>
          <w:p>
            <w:pPr>
              <w:jc w:val="center"/>
            </w:pPr>
            <w:r>
              <w:rPr/>
              <w:t xml:space="preserve">25 603 Kč</w:t>
            </w:r>
          </w:p>
        </w:tc>
        <w:tc>
          <w:tcPr>
            <w:tcW w:w="1000" w:type="dxa"/>
          </w:tcPr>
          <w:p>
            <w:pPr>
              <w:jc w:val="center"/>
            </w:pPr>
            <w:r>
              <w:rPr/>
              <w:t xml:space="preserve">33 455 Kč</w:t>
            </w:r>
          </w:p>
        </w:tc>
        <w:tc>
          <w:tcPr>
            <w:tcW w:w="1000" w:type="dxa"/>
          </w:tcPr>
          <w:p>
            <w:pPr>
              <w:jc w:val="center"/>
            </w:pPr>
            <w:r>
              <w:rPr/>
              <w:t xml:space="preserve">40 412 Kč</w:t>
            </w:r>
          </w:p>
        </w:tc>
      </w:tr>
      <w:tr>
        <w:trPr/>
        <w:tc>
          <w:tcPr>
            <w:tcW w:w="2000" w:type="dxa"/>
          </w:tcPr>
          <w:p>
            <w:pPr/>
            <w:r>
              <w:rPr/>
              <w:t xml:space="preserve">Karlovarský kraj</w:t>
            </w:r>
          </w:p>
        </w:tc>
        <w:tc>
          <w:tcPr>
            <w:tcW w:w="1000" w:type="dxa"/>
          </w:tcPr>
          <w:p>
            <w:pPr>
              <w:jc w:val="center"/>
            </w:pPr>
            <w:r>
              <w:rPr/>
              <w:t xml:space="preserve">23 070 Kč</w:t>
            </w:r>
          </w:p>
        </w:tc>
        <w:tc>
          <w:tcPr>
            <w:tcW w:w="1000" w:type="dxa"/>
          </w:tcPr>
          <w:p>
            <w:pPr>
              <w:jc w:val="center"/>
            </w:pPr>
            <w:r>
              <w:rPr/>
              <w:t xml:space="preserve">31 457 Kč</w:t>
            </w:r>
          </w:p>
        </w:tc>
        <w:tc>
          <w:tcPr>
            <w:tcW w:w="1000" w:type="dxa"/>
          </w:tcPr>
          <w:p>
            <w:pPr>
              <w:jc w:val="center"/>
            </w:pPr>
            <w:r>
              <w:rPr/>
              <w:t xml:space="preserve">51 584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17 708 Kč</w:t>
            </w:r>
          </w:p>
        </w:tc>
        <w:tc>
          <w:tcPr>
            <w:tcW w:w="1000" w:type="dxa"/>
          </w:tcPr>
          <w:p>
            <w:pPr>
              <w:jc w:val="center"/>
            </w:pPr>
            <w:r>
              <w:rPr/>
              <w:t xml:space="preserve">32 762 Kč</w:t>
            </w:r>
          </w:p>
        </w:tc>
        <w:tc>
          <w:tcPr>
            <w:tcW w:w="1000" w:type="dxa"/>
          </w:tcPr>
          <w:p>
            <w:pPr>
              <w:jc w:val="center"/>
            </w:pPr>
            <w:r>
              <w:rPr/>
              <w:t xml:space="preserve">49 086 Kč</w:t>
            </w:r>
          </w:p>
        </w:tc>
        <w:tc>
          <w:tcPr>
            <w:tcW w:w="1000" w:type="dxa"/>
          </w:tcPr>
          <w:p>
            <w:pPr>
              <w:jc w:val="center"/>
            </w:pPr>
            <w:r>
              <w:rPr/>
              <w:t xml:space="preserve">23 391 Kč</w:t>
            </w:r>
          </w:p>
        </w:tc>
        <w:tc>
          <w:tcPr>
            <w:tcW w:w="1000" w:type="dxa"/>
          </w:tcPr>
          <w:p>
            <w:pPr>
              <w:jc w:val="center"/>
            </w:pPr>
            <w:r>
              <w:rPr/>
              <w:t xml:space="preserve">32 889 Kč</w:t>
            </w:r>
          </w:p>
        </w:tc>
        <w:tc>
          <w:tcPr>
            <w:tcW w:w="1000" w:type="dxa"/>
          </w:tcPr>
          <w:p>
            <w:pPr>
              <w:jc w:val="center"/>
            </w:pPr>
            <w:r>
              <w:rPr/>
              <w:t xml:space="preserve">43 943 Kč</w:t>
            </w:r>
          </w:p>
        </w:tc>
      </w:tr>
      <w:tr>
        <w:trPr/>
        <w:tc>
          <w:tcPr>
            <w:tcW w:w="2000" w:type="dxa"/>
          </w:tcPr>
          <w:p>
            <w:pPr/>
            <w:r>
              <w:rPr/>
              <w:t xml:space="preserve">Liberecký kraj</w:t>
            </w:r>
          </w:p>
        </w:tc>
        <w:tc>
          <w:tcPr>
            <w:tcW w:w="1000" w:type="dxa"/>
          </w:tcPr>
          <w:p>
            <w:pPr>
              <w:jc w:val="center"/>
            </w:pPr>
            <w:r>
              <w:rPr/>
              <w:t xml:space="preserve">24 190 Kč</w:t>
            </w:r>
          </w:p>
        </w:tc>
        <w:tc>
          <w:tcPr>
            <w:tcW w:w="1000" w:type="dxa"/>
          </w:tcPr>
          <w:p>
            <w:pPr>
              <w:jc w:val="center"/>
            </w:pPr>
            <w:r>
              <w:rPr/>
              <w:t xml:space="preserve">31 296 Kč</w:t>
            </w:r>
          </w:p>
        </w:tc>
        <w:tc>
          <w:tcPr>
            <w:tcW w:w="1000" w:type="dxa"/>
          </w:tcPr>
          <w:p>
            <w:pPr>
              <w:jc w:val="center"/>
            </w:pPr>
            <w:r>
              <w:rPr/>
              <w:t xml:space="preserve">47 295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14 733 Kč</w:t>
            </w:r>
          </w:p>
        </w:tc>
        <w:tc>
          <w:tcPr>
            <w:tcW w:w="1000" w:type="dxa"/>
          </w:tcPr>
          <w:p>
            <w:pPr>
              <w:jc w:val="center"/>
            </w:pPr>
            <w:r>
              <w:rPr/>
              <w:t xml:space="preserve">29 356 Kč</w:t>
            </w:r>
          </w:p>
        </w:tc>
        <w:tc>
          <w:tcPr>
            <w:tcW w:w="1000" w:type="dxa"/>
          </w:tcPr>
          <w:p>
            <w:pPr>
              <w:jc w:val="center"/>
            </w:pPr>
            <w:r>
              <w:rPr/>
              <w:t xml:space="preserve">44 839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19 052 Kč</w:t>
            </w:r>
          </w:p>
        </w:tc>
        <w:tc>
          <w:tcPr>
            <w:tcW w:w="1000" w:type="dxa"/>
          </w:tcPr>
          <w:p>
            <w:pPr>
              <w:jc w:val="center"/>
            </w:pPr>
            <w:r>
              <w:rPr/>
              <w:t xml:space="preserve">26 938 Kč</w:t>
            </w:r>
          </w:p>
        </w:tc>
        <w:tc>
          <w:tcPr>
            <w:tcW w:w="1000" w:type="dxa"/>
          </w:tcPr>
          <w:p>
            <w:pPr>
              <w:jc w:val="center"/>
            </w:pPr>
            <w:r>
              <w:rPr/>
              <w:t xml:space="preserve">43 097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21 805 Kč</w:t>
            </w:r>
          </w:p>
        </w:tc>
        <w:tc>
          <w:tcPr>
            <w:tcW w:w="1000" w:type="dxa"/>
          </w:tcPr>
          <w:p>
            <w:pPr>
              <w:jc w:val="center"/>
            </w:pPr>
            <w:r>
              <w:rPr/>
              <w:t xml:space="preserve">33 188 Kč</w:t>
            </w:r>
          </w:p>
        </w:tc>
        <w:tc>
          <w:tcPr>
            <w:tcW w:w="1000" w:type="dxa"/>
          </w:tcPr>
          <w:p>
            <w:pPr>
              <w:jc w:val="center"/>
            </w:pPr>
            <w:r>
              <w:rPr/>
              <w:t xml:space="preserve">48 460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18 456 Kč</w:t>
            </w:r>
          </w:p>
        </w:tc>
        <w:tc>
          <w:tcPr>
            <w:tcW w:w="1000" w:type="dxa"/>
          </w:tcPr>
          <w:p>
            <w:pPr>
              <w:jc w:val="center"/>
            </w:pPr>
            <w:r>
              <w:rPr/>
              <w:t xml:space="preserve">29 043 Kč</w:t>
            </w:r>
          </w:p>
        </w:tc>
        <w:tc>
          <w:tcPr>
            <w:tcW w:w="1000" w:type="dxa"/>
          </w:tcPr>
          <w:p>
            <w:pPr>
              <w:jc w:val="center"/>
            </w:pPr>
            <w:r>
              <w:rPr/>
              <w:t xml:space="preserve">47 197 Kč</w:t>
            </w:r>
          </w:p>
        </w:tc>
        <w:tc>
          <w:tcPr>
            <w:tcW w:w="1000" w:type="dxa"/>
          </w:tcPr>
          <w:p>
            <w:pPr>
              <w:jc w:val="center"/>
            </w:pPr>
            <w:r>
              <w:rPr/>
              <w:t xml:space="preserve">24 600 Kč</w:t>
            </w:r>
          </w:p>
        </w:tc>
        <w:tc>
          <w:tcPr>
            <w:tcW w:w="1000" w:type="dxa"/>
          </w:tcPr>
          <w:p>
            <w:pPr>
              <w:jc w:val="center"/>
            </w:pPr>
            <w:r>
              <w:rPr/>
              <w:t xml:space="preserve">31 524 Kč</w:t>
            </w:r>
          </w:p>
        </w:tc>
        <w:tc>
          <w:tcPr>
            <w:tcW w:w="1000" w:type="dxa"/>
          </w:tcPr>
          <w:p>
            <w:pPr>
              <w:jc w:val="center"/>
            </w:pPr>
            <w:r>
              <w:rPr/>
              <w:t xml:space="preserve">41 910 Kč</w:t>
            </w:r>
          </w:p>
        </w:tc>
      </w:tr>
      <w:tr>
        <w:trPr/>
        <w:tc>
          <w:tcPr>
            <w:tcW w:w="2000" w:type="dxa"/>
          </w:tcPr>
          <w:p>
            <w:pPr/>
            <w:r>
              <w:rPr/>
              <w:t xml:space="preserve">Olomoucký kraj</w:t>
            </w:r>
          </w:p>
        </w:tc>
        <w:tc>
          <w:tcPr>
            <w:tcW w:w="1000" w:type="dxa"/>
          </w:tcPr>
          <w:p>
            <w:pPr>
              <w:jc w:val="center"/>
            </w:pPr>
            <w:r>
              <w:rPr/>
              <w:t xml:space="preserve">24 164 Kč</w:t>
            </w:r>
          </w:p>
        </w:tc>
        <w:tc>
          <w:tcPr>
            <w:tcW w:w="1000" w:type="dxa"/>
          </w:tcPr>
          <w:p>
            <w:pPr>
              <w:jc w:val="center"/>
            </w:pPr>
            <w:r>
              <w:rPr/>
              <w:t xml:space="preserve">28 594 Kč</w:t>
            </w:r>
          </w:p>
        </w:tc>
        <w:tc>
          <w:tcPr>
            <w:tcW w:w="1000" w:type="dxa"/>
          </w:tcPr>
          <w:p>
            <w:pPr>
              <w:jc w:val="center"/>
            </w:pPr>
            <w:r>
              <w:rPr/>
              <w:t xml:space="preserve">46 478 Kč</w:t>
            </w:r>
          </w:p>
        </w:tc>
        <w:tc>
          <w:tcPr>
            <w:tcW w:w="1000" w:type="dxa"/>
          </w:tcPr>
          <w:p>
            <w:pPr>
              <w:jc w:val="center"/>
            </w:pPr>
            <w:r>
              <w:rPr/>
              <w:t xml:space="preserve">24 376 Kč</w:t>
            </w:r>
          </w:p>
        </w:tc>
        <w:tc>
          <w:tcPr>
            <w:tcW w:w="1000" w:type="dxa"/>
          </w:tcPr>
          <w:p>
            <w:pPr>
              <w:jc w:val="center"/>
            </w:pPr>
            <w:r>
              <w:rPr/>
              <w:t xml:space="preserve">32 874 Kč</w:t>
            </w:r>
          </w:p>
        </w:tc>
        <w:tc>
          <w:tcPr>
            <w:tcW w:w="1000" w:type="dxa"/>
          </w:tcPr>
          <w:p>
            <w:pPr>
              <w:jc w:val="center"/>
            </w:pPr>
            <w:r>
              <w:rPr/>
              <w:t xml:space="preserve">39 625 Kč</w:t>
            </w:r>
          </w:p>
        </w:tc>
      </w:tr>
      <w:tr>
        <w:trPr/>
        <w:tc>
          <w:tcPr>
            <w:tcW w:w="2000" w:type="dxa"/>
          </w:tcPr>
          <w:p>
            <w:pPr/>
            <w:r>
              <w:rPr/>
              <w:t xml:space="preserve">Zlínský kraj</w:t>
            </w:r>
          </w:p>
        </w:tc>
        <w:tc>
          <w:tcPr>
            <w:tcW w:w="1000" w:type="dxa"/>
          </w:tcPr>
          <w:p>
            <w:pPr>
              <w:jc w:val="center"/>
            </w:pPr>
            <w:r>
              <w:rPr/>
              <w:t xml:space="preserve">18 016 Kč</w:t>
            </w:r>
          </w:p>
        </w:tc>
        <w:tc>
          <w:tcPr>
            <w:tcW w:w="1000" w:type="dxa"/>
          </w:tcPr>
          <w:p>
            <w:pPr>
              <w:jc w:val="center"/>
            </w:pPr>
            <w:r>
              <w:rPr/>
              <w:t xml:space="preserve">30 446 Kč</w:t>
            </w:r>
          </w:p>
        </w:tc>
        <w:tc>
          <w:tcPr>
            <w:tcW w:w="1000" w:type="dxa"/>
          </w:tcPr>
          <w:p>
            <w:pPr>
              <w:jc w:val="center"/>
            </w:pPr>
            <w:r>
              <w:rPr/>
              <w:t xml:space="preserve">43 885 Kč</w:t>
            </w:r>
          </w:p>
        </w:tc>
        <w:tc>
          <w:tcPr>
            <w:tcW w:w="1000" w:type="dxa"/>
          </w:tcPr>
          <w:p>
            <w:pPr>
              <w:jc w:val="center"/>
            </w:pPr>
            <w:r>
              <w:rPr/>
              <w:t xml:space="preserve">26 143 Kč</w:t>
            </w:r>
          </w:p>
        </w:tc>
        <w:tc>
          <w:tcPr>
            <w:tcW w:w="1000" w:type="dxa"/>
          </w:tcPr>
          <w:p>
            <w:pPr>
              <w:jc w:val="center"/>
            </w:pPr>
            <w:r>
              <w:rPr/>
              <w:t xml:space="preserve">31 078 Kč</w:t>
            </w:r>
          </w:p>
        </w:tc>
        <w:tc>
          <w:tcPr>
            <w:tcW w:w="1000" w:type="dxa"/>
          </w:tcPr>
          <w:p>
            <w:pPr>
              <w:jc w:val="center"/>
            </w:pPr>
            <w:r>
              <w:rPr/>
              <w:t xml:space="preserve">39 892 Kč</w:t>
            </w:r>
          </w:p>
        </w:tc>
      </w:tr>
      <w:tr>
        <w:trPr/>
        <w:tc>
          <w:tcPr>
            <w:tcW w:w="2000" w:type="dxa"/>
          </w:tcPr>
          <w:p>
            <w:pPr/>
            <w:r>
              <w:rPr/>
              <w:t xml:space="preserve">Moravskoslezský kraj</w:t>
            </w:r>
          </w:p>
        </w:tc>
        <w:tc>
          <w:tcPr>
            <w:tcW w:w="1000" w:type="dxa"/>
          </w:tcPr>
          <w:p>
            <w:pPr>
              <w:jc w:val="center"/>
            </w:pPr>
            <w:r>
              <w:rPr/>
              <w:t xml:space="preserve">24 100 Kč</w:t>
            </w:r>
          </w:p>
        </w:tc>
        <w:tc>
          <w:tcPr>
            <w:tcW w:w="1000" w:type="dxa"/>
          </w:tcPr>
          <w:p>
            <w:pPr>
              <w:jc w:val="center"/>
            </w:pPr>
            <w:r>
              <w:rPr/>
              <w:t xml:space="preserve">33 425 Kč</w:t>
            </w:r>
          </w:p>
        </w:tc>
        <w:tc>
          <w:tcPr>
            <w:tcW w:w="1000" w:type="dxa"/>
          </w:tcPr>
          <w:p>
            <w:pPr>
              <w:jc w:val="center"/>
            </w:pPr>
            <w:r>
              <w:rPr/>
              <w:t xml:space="preserve">53 317 Kč</w:t>
            </w:r>
          </w:p>
        </w:tc>
        <w:tc>
          <w:tcPr>
            <w:tcW w:w="1000" w:type="dxa"/>
          </w:tcPr>
          <w:p>
            <w:pPr>
              <w:jc w:val="center"/>
            </w:pPr>
            <w:r>
              <w:rPr/>
              <w:t xml:space="preserve">25 741 Kč</w:t>
            </w:r>
          </w:p>
        </w:tc>
        <w:tc>
          <w:tcPr>
            <w:tcW w:w="1000" w:type="dxa"/>
          </w:tcPr>
          <w:p>
            <w:pPr>
              <w:jc w:val="center"/>
            </w:pPr>
            <w:r>
              <w:rPr/>
              <w:t xml:space="preserve">32 429 Kč</w:t>
            </w:r>
          </w:p>
        </w:tc>
        <w:tc>
          <w:tcPr>
            <w:tcW w:w="1000" w:type="dxa"/>
          </w:tcPr>
          <w:p>
            <w:pPr>
              <w:jc w:val="center"/>
            </w:pPr>
            <w:r>
              <w:rPr/>
              <w:t xml:space="preserve">40 797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3339</w:t>
            </w:r>
          </w:p>
        </w:tc>
        <w:tc>
          <w:tcPr>
            <w:tcW w:w="2000" w:type="dxa"/>
          </w:tcPr>
          <w:p>
            <w:pPr/>
            <w:r>
              <w:rPr/>
              <w:t xml:space="preserve">Zprostředkovatelé služeb jinde neuvedení</w:t>
            </w:r>
          </w:p>
        </w:tc>
        <w:tc>
          <w:tcPr>
            <w:tcW w:w="1000" w:type="dxa"/>
          </w:tcPr>
          <w:p>
            <w:pPr>
              <w:jc w:val="center"/>
            </w:pPr>
            <w:r>
              <w:rPr/>
              <w:t xml:space="preserve">33 897 Kč</w:t>
            </w:r>
          </w:p>
        </w:tc>
        <w:tc>
          <w:tcPr>
            <w:tcW w:w="1000" w:type="dxa"/>
          </w:tcPr>
          <w:p>
            <w:pPr>
              <w:jc w:val="center"/>
            </w:pPr>
            <w:r>
              <w:rPr/>
              <w:t xml:space="preserve">32 132 Kč</w:t>
            </w:r>
          </w:p>
        </w:tc>
      </w:tr>
      <w:tr>
        <w:trPr/>
        <w:tc>
          <w:tcPr>
            <w:tcW w:w="1000" w:type="dxa"/>
          </w:tcPr>
          <w:p>
            <w:pPr>
              <w:jc w:val="center"/>
            </w:pPr>
            <w:r>
              <w:rPr/>
              <w:t xml:space="preserve">33392</w:t>
            </w:r>
          </w:p>
        </w:tc>
        <w:tc>
          <w:tcPr>
            <w:tcW w:w="2000" w:type="dxa"/>
          </w:tcPr>
          <w:p>
            <w:pPr/>
            <w:r>
              <w:rPr/>
              <w:t xml:space="preserve">Obchodní referenti</w:t>
            </w:r>
          </w:p>
        </w:tc>
        <w:tc>
          <w:tcPr>
            <w:tcW w:w="1000" w:type="dxa"/>
          </w:tcPr>
          <w:p>
            <w:pPr>
              <w:jc w:val="center"/>
            </w:pPr>
            <w:r>
              <w:rPr/>
              <w:t xml:space="preserve">35 381 Kč</w:t>
            </w:r>
          </w:p>
        </w:tc>
        <w:tc>
          <w:tcPr>
            <w:tcW w:w="1000" w:type="dxa"/>
          </w:tcPr>
          <w:p>
            <w:pPr>
              <w:jc w:val="center"/>
            </w:pPr>
            <w:r>
              <w:rPr/>
              <w:t xml:space="preserve">32 789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3339</w:t>
            </w:r>
          </w:p>
        </w:tc>
        <w:tc>
          <w:tcPr>
            <w:tcW w:w="3000" w:type="dxa"/>
          </w:tcPr>
          <w:p>
            <w:pPr/>
            <w:r>
              <w:rPr/>
              <w:t xml:space="preserve">Zprostředkovatelé služeb jinde neuvedení</w:t>
            </w:r>
          </w:p>
        </w:tc>
        <w:tc>
          <w:tcPr>
            <w:tcW w:w="3000" w:type="dxa"/>
          </w:tcPr>
          <w:p>
            <w:pPr/>
            <w:r>
              <w:rPr/>
              <w:t xml:space="preserve">http://data.europa.eu/esco/isco/C3339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produktmanažer / chemická technička produktmanažerka (28-049-M)</w:t>
      </w:r>
    </w:p>
    <w:p/>
    <w:p>
      <w:pPr>
        <w:pStyle w:val="Heading3"/>
      </w:pPr>
      <w:bookmarkStart w:id="15" w:name="_Toc15"/>
      <w:r>
        <w:t>Legislativní požadavky</w:t>
      </w:r>
      <w:bookmarkEnd w:id="15"/>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h11.D.8211</w:t>
            </w:r>
          </w:p>
        </w:tc>
        <w:tc>
          <w:tcPr>
            <w:tcW w:w="3000" w:type="dxa"/>
          </w:tcPr>
          <w:p>
            <w:pPr/>
            <w:r>
              <w:rPr/>
              <w:t xml:space="preserve">Příprava podkladů pro uzavírání obchodních smluv, popř. objednávek s obchodními partnery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h14.D.8012</w:t>
            </w:r>
          </w:p>
        </w:tc>
        <w:tc>
          <w:tcPr>
            <w:tcW w:w="3000" w:type="dxa"/>
          </w:tcPr>
          <w:p>
            <w:pPr/>
            <w:r>
              <w:rPr/>
              <w:t xml:space="preserve">Vedení požadovaných evidencí (evidence objednávek, zákazníků, vedení dokumentace a podkladů pro účetnictví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h13.D.1311</w:t>
            </w:r>
          </w:p>
        </w:tc>
        <w:tc>
          <w:tcPr>
            <w:tcW w:w="3000" w:type="dxa"/>
          </w:tcPr>
          <w:p>
            <w:pPr/>
            <w:r>
              <w:rPr/>
              <w:t xml:space="preserve">Kompletace a vybavování zásilek průvodní dokumentací pro odběratele, přepravce a celní a jiné orgány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h13.D.5400</w:t>
            </w:r>
          </w:p>
        </w:tc>
        <w:tc>
          <w:tcPr>
            <w:tcW w:w="3000" w:type="dxa"/>
          </w:tcPr>
          <w:p>
            <w:pPr/>
            <w:r>
              <w:rPr/>
              <w:t xml:space="preserve">Kalkulace cen, příprava podkladů pro fakturaci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h13.D.8311</w:t>
            </w:r>
          </w:p>
        </w:tc>
        <w:tc>
          <w:tcPr>
            <w:tcW w:w="3000" w:type="dxa"/>
          </w:tcPr>
          <w:p>
            <w:pPr/>
            <w:r>
              <w:rPr/>
              <w:t xml:space="preserve">Vedení požadovaných evidencí (dokumentace a podklady pro účetnictví, pro přepravce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h13.D.3312</w:t>
            </w:r>
          </w:p>
        </w:tc>
        <w:tc>
          <w:tcPr>
            <w:tcW w:w="3000" w:type="dxa"/>
          </w:tcPr>
          <w:p>
            <w:pPr/>
            <w:r>
              <w:rPr/>
              <w:t xml:space="preserve">Kontrola správnosti účetních dokladů (faktury, dodací listy), ale i všech ostatních podkladů v expedici vystavovaných nebo přijímaných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h11.C.2221</w:t>
            </w:r>
          </w:p>
        </w:tc>
        <w:tc>
          <w:tcPr>
            <w:tcW w:w="3000" w:type="dxa"/>
          </w:tcPr>
          <w:p>
            <w:pPr/>
            <w:r>
              <w:rPr/>
              <w:t xml:space="preserve">Projednávání běžných záležitostí s obchodními partnery včetně reklamačního řízení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h11.C.2225</w:t>
            </w:r>
          </w:p>
        </w:tc>
        <w:tc>
          <w:tcPr>
            <w:tcW w:w="3000" w:type="dxa"/>
          </w:tcPr>
          <w:p>
            <w:pPr/>
            <w:r>
              <w:rPr/>
              <w:t xml:space="preserve">Zařizování realizace zakázek včetně přepravy dovozních a vývozních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e52.D.1971</w:t>
            </w:r>
          </w:p>
        </w:tc>
        <w:tc>
          <w:tcPr>
            <w:tcW w:w="3000" w:type="dxa"/>
          </w:tcPr>
          <w:p>
            <w:pPr/>
            <w:r>
              <w:rPr/>
              <w:t xml:space="preserve">Orientace v technické dokumentaci a ve značení chemických látek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e52.D.1970</w:t>
            </w:r>
          </w:p>
        </w:tc>
        <w:tc>
          <w:tcPr>
            <w:tcW w:w="3000" w:type="dxa"/>
          </w:tcPr>
          <w:p>
            <w:pPr/>
            <w:r>
              <w:rPr/>
              <w:t xml:space="preserve">Orientace v legislativě související s chemickou výrobou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e52.D.9001</w:t>
            </w:r>
          </w:p>
        </w:tc>
        <w:tc>
          <w:tcPr>
            <w:tcW w:w="3000" w:type="dxa"/>
          </w:tcPr>
          <w:p>
            <w:pPr/>
            <w:r>
              <w:rPr/>
              <w:t xml:space="preserve">Příprava dat a dalších podkladů pro prezentace chemického produktu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e52.D.8034</w:t>
            </w:r>
          </w:p>
        </w:tc>
        <w:tc>
          <w:tcPr>
            <w:tcW w:w="3000" w:type="dxa"/>
          </w:tcPr>
          <w:p>
            <w:pPr/>
            <w:r>
              <w:rPr/>
              <w:t xml:space="preserve">Administrativní a technická podpora pracovníků prodeje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e52.D.8035</w:t>
            </w:r>
          </w:p>
        </w:tc>
        <w:tc>
          <w:tcPr>
            <w:tcW w:w="3000" w:type="dxa"/>
          </w:tcPr>
          <w:p>
            <w:pPr/>
            <w:r>
              <w:rPr/>
              <w:t xml:space="preserve">Zpracování technické dokumentace k zadání chemicko-technologické specifikace zákazníkem požadovaného produktu technickému a výrobnímu útvaru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h14._.0099</w:t>
            </w:r>
          </w:p>
        </w:tc>
        <w:tc>
          <w:tcPr>
            <w:tcW w:w="3000" w:type="dxa"/>
          </w:tcPr>
          <w:p>
            <w:pPr/>
            <w:r>
              <w:rPr/>
              <w:t xml:space="preserve">zbožíznalství speciálních výrobků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h13._.0060</w:t>
            </w:r>
          </w:p>
        </w:tc>
        <w:tc>
          <w:tcPr>
            <w:tcW w:w="3000" w:type="dxa"/>
          </w:tcPr>
          <w:p>
            <w:pPr/>
            <w:r>
              <w:rPr/>
              <w:t xml:space="preserve">dodací podmínky INCOTERMS</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i31._.0022</w:t>
            </w:r>
          </w:p>
        </w:tc>
        <w:tc>
          <w:tcPr>
            <w:tcW w:w="3000" w:type="dxa"/>
          </w:tcPr>
          <w:p>
            <w:pPr/>
            <w:r>
              <w:rPr/>
              <w:t xml:space="preserve">úřední a obchodní korespondence v angličtině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i31._.0021</w:t>
            </w:r>
          </w:p>
        </w:tc>
        <w:tc>
          <w:tcPr>
            <w:tcW w:w="3000" w:type="dxa"/>
          </w:tcPr>
          <w:p>
            <w:pPr/>
            <w:r>
              <w:rPr/>
              <w:t xml:space="preserve">náležitosti úřední a obchodní korespondence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h11._.0022</w:t>
            </w:r>
          </w:p>
        </w:tc>
        <w:tc>
          <w:tcPr>
            <w:tcW w:w="3000" w:type="dxa"/>
          </w:tcPr>
          <w:p>
            <w:pPr/>
            <w:r>
              <w:rPr/>
              <w:t xml:space="preserve">obchodní vyjednávání</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1ECFA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produktmanažer</dc:title>
  <dc:description>Chemický technik produktmanažer se orientuje v sortimentu chemických produktů a zajišťuje administrativní podporu a přípravu jejich prodeje a přepravy.</dc:description>
  <dc:subject/>
  <cp:keywords/>
  <cp:category>Specializace</cp:category>
  <cp:lastModifiedBy/>
  <dcterms:created xsi:type="dcterms:W3CDTF">2017-11-22T09:14:06+01:00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