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zásahové jednotky</w:t>
      </w:r>
      <w:bookmarkEnd w:id="1"/>
    </w:p>
    <w:p>
      <w:pPr/>
      <w:r>
        <w:rPr/>
        <w:t xml:space="preserve">Inspektor zásahové jednotky provádí základní činnosti v zásahové jednotce v útvaru s územně vymezenou působností vyššího stupně.
Toto povolání je vykonáváno v souladu se zákonem č. 273/2008 Sb., o Policii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(příslušník Policie ČR) - inspektor zásahové jednotky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základních činností v zásahových jednotkách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Ozbrojený doprovod osob a dopravních prostředků při přepravě peněz a cenin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defenzivní řízení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bankovních objektů a transportů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800D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zásahové jednotky</dc:title>
  <dc:description>Inspektor zásahové jednotky provádí základní činnosti v zásahové jednotce v útvaru s územně vymezenou působností vyššího stupně.
Toto povolání je vykonáváno v souladu se zákonem č. 273/2008 Sb., o Policii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2017-11-22T09:14:00+01:00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