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</w:t>
      </w:r>
      <w:bookmarkEnd w:id="1"/>
    </w:p>
    <w:p>
      <w:pPr/>
      <w:r>
        <w:rPr/>
        <w:t xml:space="preserve"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ve vazbě na profilaci a aktualizaci fondů.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Poskytnutí meziknihovních služeb (informačních, výpůjčních, reprografických).</w:t>
      </w:r>
    </w:p>
    <w:p>
      <w:pPr>
        <w:numPr>
          <w:ilvl w:val="0"/>
          <w:numId w:val="5"/>
        </w:numPr>
      </w:pPr>
      <w:r>
        <w:rPr/>
        <w:t xml:space="preserve">Bibliograficko-lokační zpracování požadavků na meziknihovní služby, ukládání a vyhledání dat v provozovaných databázích.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Komunikace (osobní, písemná, telefonická) s uživateli.</w:t>
      </w:r>
    </w:p>
    <w:p>
      <w:pPr>
        <w:numPr>
          <w:ilvl w:val="0"/>
          <w:numId w:val="5"/>
        </w:numPr>
      </w:pPr>
      <w:r>
        <w:rPr/>
        <w:t xml:space="preserve">Vedení vstupních pohovorů s uživateli.</w:t>
      </w:r>
    </w:p>
    <w:p>
      <w:pPr>
        <w:numPr>
          <w:ilvl w:val="0"/>
          <w:numId w:val="5"/>
        </w:numPr>
      </w:pPr>
      <w:r>
        <w:rPr/>
        <w:t xml:space="preserve">Informování uživatelů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Instruktáže a školení uživatelů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 knihovny.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Referenční knihovník/knihovnice (72-007-M)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lokální a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916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</dc:title>
  <dc:description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