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Samostatný elektrotechnik manažer provozu</w:t>
      </w:r>
      <w:bookmarkEnd w:id="0"/>
    </w:p>
    <w:p>
      <w:pPr/>
      <w:r>
        <w:rPr/>
        <w:t xml:space="preserve">Samostatný elektrotechnik manažer provozu řídí a organizuje práci elektrotechniků, mistrů na vymezeném technologickém úseku při zajišťování náročné elektrotechnické výroby, montáže nebo provozu složitých elektrických zařízení.</w:t>
      </w:r>
    </w:p>
    <w:p/>
    <w:tbl>
      <w:tblGrid>
        <w:gridCol w:w="3000" w:type="dxa"/>
        <w:gridCol w:w="6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/>
            <w:r>
              <w:rPr>
                <w:b w:val="1"/>
                <w:bCs w:val="1"/>
              </w:rPr>
              <w:t xml:space="preserve">Odborný směr:</w:t>
            </w:r>
          </w:p>
        </w:tc>
        <w:tc>
          <w:tcPr>
            <w:tcW w:w="6000" w:type="dxa"/>
            <w:noWrap/>
          </w:tcPr>
          <w:p>
            <w:pPr/>
            <w:r>
              <w:rPr/>
              <w:t xml:space="preserve">Elektrotechnika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Odborný podsměr:</w:t>
            </w:r>
          </w:p>
        </w:tc>
        <w:tc>
          <w:tcPr>
            <w:noWrap/>
          </w:tcPr>
          <w:p>
            <w:pPr/>
            <w:r>
              <w:rPr/>
              <w:t xml:space="preserve">nezařazeno do odborného podsměru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Kvalifikační úroveň:</w:t>
            </w:r>
          </w:p>
        </w:tc>
        <w:tc>
          <w:tcPr>
            <w:noWrap/>
          </w:tcPr>
          <w:p>
            <w:pPr/>
            <w:r>
              <w:rPr/>
              <w:t xml:space="preserve">Bakalářský studijní program; Vyšší odborné vzdělání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Alternativní názvy:</w:t>
            </w:r>
          </w:p>
        </w:tc>
        <w:tc>
          <w:tcPr>
            <w:noWrap/>
          </w:tcPr>
          <w:p>
            <w:pPr/>
            <w:r>
              <w:rPr/>
              <w:t xml:space="preserve">Electrical manager, Diplomovaný elektrotechnik manažer provozu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Regulovaná jednotka práce:</w:t>
            </w:r>
          </w:p>
        </w:tc>
        <w:tc>
          <w:tcPr>
            <w:noWrap/>
          </w:tcPr>
          <w:p>
            <w:pPr/>
            <w:r>
              <w:rPr/>
              <w:t xml:space="preserve">ne</w:t>
            </w:r>
          </w:p>
        </w:tc>
      </w:tr>
    </w:tbl>
    <w:p/>
    <w:p>
      <w:pPr>
        <w:pStyle w:val="Heading2"/>
      </w:pPr>
      <w:bookmarkStart w:id="1" w:name="_Toc1"/>
      <w:r>
        <w:t>Pracovní činnosti</w:t>
      </w:r>
      <w:bookmarkEnd w:id="1"/>
    </w:p>
    <w:p>
      <w:pPr>
        <w:numPr>
          <w:ilvl w:val="0"/>
          <w:numId w:val="5"/>
        </w:numPr>
      </w:pPr>
      <w:r>
        <w:rPr/>
        <w:t xml:space="preserve">Řízení a kontrola činnosti podřízených elektrotechniků, mistrů.</w:t>
      </w:r>
    </w:p>
    <w:p>
      <w:pPr>
        <w:numPr>
          <w:ilvl w:val="0"/>
          <w:numId w:val="5"/>
        </w:numPr>
      </w:pPr>
      <w:r>
        <w:rPr/>
        <w:t xml:space="preserve">Koordinace činnosti elektrotechnického výrobního nebo provozního úseku s navazujícími oblastmi činnosti podniku.</w:t>
      </w:r>
    </w:p>
    <w:p>
      <w:pPr>
        <w:numPr>
          <w:ilvl w:val="0"/>
          <w:numId w:val="5"/>
        </w:numPr>
      </w:pPr>
      <w:r>
        <w:rPr/>
        <w:t xml:space="preserve">Zajišťování stanovených technických a ekonomických parametrů elektrotechnické výroby nebo provozu.</w:t>
      </w:r>
    </w:p>
    <w:p>
      <w:pPr>
        <w:numPr>
          <w:ilvl w:val="0"/>
          <w:numId w:val="5"/>
        </w:numPr>
      </w:pPr>
      <w:r>
        <w:rPr/>
        <w:t xml:space="preserve">Realizace dle projektu a vývoje zařízení.</w:t>
      </w:r>
    </w:p>
    <w:p>
      <w:pPr>
        <w:numPr>
          <w:ilvl w:val="0"/>
          <w:numId w:val="5"/>
        </w:numPr>
      </w:pPr>
      <w:r>
        <w:rPr/>
        <w:t xml:space="preserve">Tvorba podmínek pro bezpečný výkon práce podřízených pracovníků.</w:t>
      </w:r>
    </w:p>
    <w:p>
      <w:pPr>
        <w:numPr>
          <w:ilvl w:val="0"/>
          <w:numId w:val="5"/>
        </w:numPr>
      </w:pPr>
      <w:r>
        <w:rPr/>
        <w:t xml:space="preserve">Zabezpečování a prohlubování předepsané odborné způsobilosti podřízených pracovníků.</w:t>
      </w:r>
    </w:p>
    <w:p>
      <w:pPr>
        <w:numPr>
          <w:ilvl w:val="0"/>
          <w:numId w:val="5"/>
        </w:numPr>
      </w:pPr>
      <w:r>
        <w:rPr/>
        <w:t xml:space="preserve">Vedení příslušné provozní dokumentace.</w:t>
      </w:r>
    </w:p>
    <w:p/>
    <w:p>
      <w:pPr>
        <w:pStyle w:val="Heading2"/>
      </w:pPr>
      <w:bookmarkStart w:id="2" w:name="_Toc2"/>
      <w:r>
        <w:t>CZ-ISCO</w:t>
      </w:r>
      <w:bookmarkEnd w:id="2"/>
    </w:p>
    <w:p>
      <w:pPr>
        <w:numPr>
          <w:ilvl w:val="0"/>
          <w:numId w:val="5"/>
        </w:numPr>
      </w:pPr>
      <w:r>
        <w:rPr/>
        <w:t xml:space="preserve">Inženýři elektrotechnici a energetici technologové, normovači</w:t>
      </w:r>
    </w:p>
    <w:p>
      <w:pPr>
        <w:numPr>
          <w:ilvl w:val="0"/>
          <w:numId w:val="5"/>
        </w:numPr>
      </w:pPr>
      <w:r>
        <w:rPr/>
        <w:t xml:space="preserve">Řídící pracovníci v průmyslové výrobě</w:t>
      </w:r>
    </w:p>
    <w:p>
      <w:pPr>
        <w:numPr>
          <w:ilvl w:val="0"/>
          <w:numId w:val="5"/>
        </w:numPr>
      </w:pPr>
      <w:r>
        <w:rPr/>
        <w:t xml:space="preserve">Inženýři elektrotechnici a energetici</w:t>
      </w:r>
    </w:p>
    <w:p/>
    <w:p>
      <w:pPr>
        <w:pStyle w:val="Heading3"/>
      </w:pPr>
      <w:bookmarkStart w:id="3" w:name="_Toc3"/>
      <w:r>
        <w:t>Hrubé měsíční mzdy podle krajů v roce 2025</w:t>
      </w:r>
      <w:bookmarkEnd w:id="3"/>
    </w:p>
    <w:p>
      <w:pPr>
        <w:pStyle w:val="Heading4"/>
      </w:pPr>
      <w:bookmarkStart w:id="4" w:name="_Toc4"/>
      <w:r>
        <w:t>Řídící pracovníci v průmyslové výrobě (CZ-ISCO 1321)</w:t>
      </w:r>
      <w:bookmarkEnd w:id="4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46 243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102 384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248 680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56 251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120 708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266 504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45 112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99 208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197 586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103 207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197 074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52 922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88 087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161 043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54 530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89 594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187 736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70 420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96 042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189 362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42 844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98 702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193 727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53 776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97 097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176 894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61 977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112 255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213 853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44 151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92 829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183 188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46 693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75 136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139 451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46 539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78 640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172 515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48 282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89 360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201 084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4"/>
      </w:pPr>
      <w:bookmarkStart w:id="5" w:name="_Toc5"/>
      <w:r>
        <w:t>Inženýři elektrotechnici a energetici (CZ-ISCO 2151)</w:t>
      </w:r>
      <w:bookmarkEnd w:id="5"/>
    </w:p>
    <w:tbl>
      <w:tblGrid>
        <w:gridCol w:w="2400" w:type="dxa"/>
        <w:gridCol w:w="1100" w:type="dxa"/>
        <w:gridCol w:w="1100" w:type="dxa"/>
        <w:gridCol w:w="1100" w:type="dxa"/>
        <w:gridCol w:w="1100" w:type="dxa"/>
        <w:gridCol w:w="1100" w:type="dxa"/>
        <w:gridCol w:w="11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400" w:type="dxa"/>
            <w:noWrap/>
          </w:tcPr>
          <w:p/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300" w:type="dxa"/>
            <w:gridSpan w:val="3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2400" w:type="dxa"/>
            <w:noWrap/>
          </w:tcPr>
          <w:p>
            <w:pPr/>
            <w:r>
              <w:rPr>
                <w:b w:val="1"/>
                <w:bCs w:val="1"/>
              </w:rPr>
              <w:t xml:space="preserve">Kraj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Od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</w:t>
            </w:r>
          </w:p>
        </w:tc>
        <w:tc>
          <w:tcPr>
            <w:tcW w:w="11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Do</w:t>
            </w:r>
          </w:p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Hlavní město Praha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58 534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87 511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135 213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Středočeský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81 541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122 056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Jihočeský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56 990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92 800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151 618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Plzeňský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53 268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78 933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138 682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Karlovarský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52 156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65 802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115 256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Ústecký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44 464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85 967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141 840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Liberecký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51 426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67 366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97 657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Královéhradecký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54 498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75 200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110 185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Pardubický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51 538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74 488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102 149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Kraj Vysočina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24 879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95 345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158 358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Jihomoravský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48 840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69 249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112 637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Olomoucký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47 798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65 616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93 784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Zlínský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49 560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65 169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104 614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  <w:tr>
        <w:trPr/>
        <w:tc>
          <w:tcPr>
            <w:tcW w:w="2000" w:type="dxa"/>
            <w:noWrap/>
          </w:tcPr>
          <w:p>
            <w:pPr/>
            <w:r>
              <w:rPr/>
              <w:t xml:space="preserve">Moravskoslezský kraj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51 102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73 864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>
                <w:sz w:val="16"/>
                <w:szCs w:val="16"/>
              </w:rPr>
              <w:t xml:space="preserve">109 525 Kč</w:t>
            </w:r>
          </w:p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  <w:tc>
          <w:tcPr>
            <w:tcW w:w="1000" w:type="dxa"/>
            <w:noWrap/>
          </w:tcPr>
          <w:p/>
        </w:tc>
      </w:tr>
    </w:tbl>
    <w:p/>
    <w:p>
      <w:pPr>
        <w:pStyle w:val="Heading3"/>
      </w:pPr>
      <w:bookmarkStart w:id="6" w:name="_Toc6"/>
      <w:r>
        <w:t>Hrubé měsíční mzdy v roce 2025 celkem</w:t>
      </w:r>
      <w:bookmarkEnd w:id="6"/>
    </w:p>
    <w:tbl>
      <w:tblGrid>
        <w:gridCol w:w="1000" w:type="dxa"/>
        <w:gridCol w:w="2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gridSpan w:val="2"/>
            <w:noWrap/>
          </w:tcPr>
          <w:p/>
        </w:tc>
        <w:tc>
          <w:tcPr>
            <w:tcW w:w="6000" w:type="dxa"/>
            <w:gridSpan w:val="2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Medián za ČR celkem</w:t>
            </w:r>
          </w:p>
        </w:tc>
      </w:tr>
      <w:tr>
        <w:trPr/>
        <w:tc>
          <w:tcPr>
            <w:tcW w:w="1000" w:type="dxa"/>
            <w:noWrap/>
          </w:tcPr>
          <w:p>
            <w:pPr/>
            <w:r>
              <w:rPr>
                <w:b w:val="1"/>
                <w:bCs w:val="1"/>
              </w:rPr>
              <w:t xml:space="preserve">CZ-ISCO</w:t>
            </w:r>
          </w:p>
        </w:tc>
        <w:tc>
          <w:tcPr>
            <w:tcW w:w="2000" w:type="dxa"/>
            <w:noWrap/>
          </w:tcPr>
          <w:p/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Mzdová sféra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Platová sféra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1321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Řídící pracovníci v průmyslové výrobě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64 030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98 616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48 996 Kč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78 553 Kč</w:t>
            </w:r>
          </w:p>
        </w:tc>
      </w:tr>
      <w:tr>
        <w:trPr/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21513</w:t>
            </w:r>
          </w:p>
        </w:tc>
        <w:tc>
          <w:tcPr>
            <w:tcW w:w="2000" w:type="dxa"/>
            <w:noWrap/>
          </w:tcPr>
          <w:p>
            <w:pPr/>
            <w:r>
              <w:rPr/>
              <w:t xml:space="preserve">Inženýři elektrotechnici a energetici technologové, normovači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-</w:t>
            </w:r>
          </w:p>
        </w:tc>
        <w:tc>
          <w:tcPr>
            <w:tcW w:w="1000" w:type="dxa"/>
            <w:noWrap/>
          </w:tcPr>
          <w:p>
            <w:pPr>
              <w:jc w:val="center"/>
            </w:pPr>
            <w:r>
              <w:rPr/>
              <w:t xml:space="preserve">74 308 Kč</w:t>
            </w:r>
          </w:p>
        </w:tc>
      </w:tr>
    </w:tbl>
    <w:p/>
    <w:p>
      <w:pPr>
        <w:pStyle w:val="Heading2"/>
      </w:pPr>
      <w:bookmarkStart w:id="7" w:name="_Toc7"/>
      <w:r>
        <w:t>ESCO</w:t>
      </w:r>
      <w:bookmarkEnd w:id="7"/>
    </w:p>
    <w:tbl>
      <w:tblGrid>
        <w:gridCol w:w="3000" w:type="dxa"/>
        <w:gridCol w:w="3000" w:type="dxa"/>
        <w:gridCol w:w="3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 podskupiny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 podskupiny v ESCO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URL - podskupiny v ESCO</w:t>
            </w:r>
          </w:p>
        </w:tc>
      </w:tr>
      <w:tr>
        <w:trPr/>
        <w:tc>
          <w:tcPr>
            <w:tcW w:w="3000" w:type="dxa"/>
            <w:noWrap/>
          </w:tcPr>
          <w:p>
            <w:pPr/>
            <w:r>
              <w:rPr/>
              <w:t xml:space="preserve">2151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Inženýři elektrotechnici a energetici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http://data.europa.eu/esco/isco/C2151</w:t>
            </w:r>
          </w:p>
        </w:tc>
      </w:tr>
    </w:tbl>
    <w:p/>
    <w:p/>
    <w:p/>
    <w:p>
      <w:pPr>
        <w:pStyle w:val="Heading2"/>
      </w:pPr>
      <w:bookmarkStart w:id="8" w:name="_Toc8"/>
      <w:r>
        <w:t>Pracovní podmínky</w:t>
      </w:r>
      <w:bookmarkEnd w:id="8"/>
    </w:p>
    <w:p>
      <w:pPr/>
      <w:r>
        <w:rPr/>
        <w:t xml:space="preserve">Rizikové faktory pracovních podmínek a vyskytující se druhy zátěže upravuje nařízení vlády č. 361/2007 Sb., kterým se stanoví podmínky ochrany zdraví při práci, zákon č. 258/2000 Sb., o ochraně veřejného zdraví a zákon č. 262/2006 Sb., zákoník práce. Vždy vyplývají z pracovních podmínek, které se vztahují ke konkrétnímu zaměstnavateli, tudíž se mohou u různých zaměstnavatelů lišit.</w:t>
      </w:r>
    </w:p>
    <w:p/>
    <w:p>
      <w:pPr/>
      <w:r>
        <w:rPr/>
        <w:t xml:space="preserve">Určení míry výskytu faktorů, které mohou ovlivnit zdraví při práci vychází z druhu práce vykonávané na pracovišti. Faktory se zařazují do čtyř kategorií dle míry zdravotního rizika a jeho vlivu na zdraví. O zařazení prací do třetí nebo čtvrté kategorie rozhoduje příslušný orgán ochrany veřejného zdraví.</w:t>
      </w:r>
    </w:p>
    <w:p/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1. Stupeň zátěže (minimální zdravotní riziko) - Faktor se při výkonu práce nevyskytuje nebo je zátěž faktorem minimální, vliv faktoru je ze zdravotního hlediska nevýznamný.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2. Stupeň zátěže (únosná míra zdravotního rizika) - Ze zdravotního hlediska je míra zátěže faktorem únosná, nepřekračuje limity stanovené předpisy, vliv faktoru je akceptovatelný pro zdravého člověka.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3. Stupeň zátěže (významná míra zdravotního rizika) - Úroveň zátěže překračuje stanovené limitní hodnoty expozice (zátěže), na pracovištích je nutná realizace náhradních technických a organizačních opatření, nelze vyloučit negativní vliv na zdraví pracovníků.</w:t>
      </w:r>
    </w:p>
    <w:p>
      <w:pPr>
        <w:numPr>
          <w:ilvl w:val="0"/>
          <w:numId w:val="5"/>
        </w:numPr>
      </w:pPr>
      <w:r>
        <w:rPr>
          <w:sz w:val="16"/>
          <w:szCs w:val="16"/>
          <w:i w:val="1"/>
          <w:iCs w:val="1"/>
        </w:rPr>
        <w:t xml:space="preserve">4. Stupeň zátěže (vysoká míra zdravotního rizika) - Úroveň zátěže vysoce překračuje stanovené limitní hodnoty expozice, na pracovištích musí být dodržován soubor preventivních opatření, častěji dochází k poškození zdraví.</w:t>
      </w:r>
    </w:p>
    <w:p/>
    <w:p/>
    <w:p>
      <w:pPr>
        <w:pStyle w:val="Heading2"/>
      </w:pPr>
      <w:bookmarkStart w:id="9" w:name="_Toc9"/>
      <w:r>
        <w:t>Kvalifikace k výkonu povolání</w:t>
      </w:r>
      <w:bookmarkEnd w:id="9"/>
    </w:p>
    <w:p>
      <w:pPr>
        <w:pStyle w:val="Heading3"/>
      </w:pPr>
      <w:bookmarkStart w:id="10" w:name="_Toc10"/>
      <w:r>
        <w:t>Školní vzdělání</w:t>
      </w:r>
      <w:bookmarkEnd w:id="10"/>
    </w:p>
    <w:p/>
    <w:p>
      <w:pPr>
        <w:pStyle w:val="Heading4"/>
      </w:pPr>
      <w:bookmarkStart w:id="11" w:name="_Toc11"/>
      <w:r>
        <w:t>Nejvhodnější školní přípravu poskytují obory:</w:t>
      </w:r>
      <w:bookmarkEnd w:id="11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elektrotechnika se zaměřením na ekonomiku a 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2608R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RVP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26-41-N/xx</w:t>
            </w:r>
          </w:p>
        </w:tc>
      </w:tr>
    </w:tbl>
    <w:p/>
    <w:p>
      <w:pPr>
        <w:pStyle w:val="Heading4"/>
      </w:pPr>
      <w:bookmarkStart w:id="12" w:name="_Toc12"/>
      <w:r>
        <w:t>Vhodnou školní přípravu poskytují také obory:</w:t>
      </w:r>
      <w:bookmarkEnd w:id="12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Typ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slaboproudá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2601R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elektrotechnika a informatika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2612R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elektrotechnická specializace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2609R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KKOV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Bakalářský studijní program v oboru silnoproudá 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2642R</w:t>
            </w:r>
          </w:p>
        </w:tc>
      </w:tr>
    </w:tbl>
    <w:p>
      <w:pPr>
        <w:pStyle w:val="Heading3"/>
      </w:pPr>
      <w:bookmarkStart w:id="13" w:name="_Toc13"/>
      <w:r>
        <w:t>Legislativní požadavky</w:t>
      </w:r>
      <w:bookmarkEnd w:id="13"/>
    </w:p>
    <w:p>
      <w:pPr>
        <w:numPr>
          <w:ilvl w:val="0"/>
          <w:numId w:val="5"/>
        </w:numPr>
      </w:pPr>
      <w:r>
        <w:rPr/>
        <w:t xml:space="preserve">povinné - Odborná způsobilost podle zákona č. 250/2021 Sb., o bezpečnosti práce v souvislosti s provozem vyhrazených technických zařízení a nařízení vlády č. 194/2022 Sb., o požadavcích na odbornou způsobilost k výkonu činnosti na elektrických zařízeních a na odbornou způsobilost v elektrotechnice</w:t>
      </w:r>
    </w:p>
    <w:p/>
    <w:p/>
    <w:p>
      <w:pPr>
        <w:pStyle w:val="Heading2"/>
      </w:pPr>
      <w:bookmarkStart w:id="14" w:name="_Toc14"/>
      <w:r>
        <w:t>Kompetenční požadavky</w:t>
      </w:r>
      <w:bookmarkEnd w:id="14"/>
    </w:p>
    <w:p>
      <w:pPr>
        <w:pStyle w:val="Heading3"/>
      </w:pPr>
      <w:bookmarkStart w:id="15" w:name="_Toc15"/>
      <w:r>
        <w:t>Odborné dovednosti</w:t>
      </w:r>
      <w:bookmarkEnd w:id="15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e81.Z.1320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Řízení technologického úseku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e81.D.4001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veličin, vyhodnocení naměřených hodnot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e81.C.7001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Poskytování předlékařské první pomoci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e81.D.8010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Vyhotovování záznamů a dokumentace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e81.D.1088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Používání technické dokumentace a norem při práci na elektrotechnických a elektronických zařízeních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e81.D.3130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Kontrola dodržování technologických postupů a bezpečnostních předpisů v elektrotechnické výrobě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e81.D.1804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Zásady ochrany zdraví a majetku, ochrana před úrazem elektrickým proudem, bezpečnost při obsluze a práci na elektrickém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e81.D.2910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Volba postupu práce, nářadí, pomůcek a měřidel pro činnost na elektrickém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e81.Z.2130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Koordinace elektrotechnické výroby s ostatními útvary organizace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6" w:name="_Toc16"/>
      <w:r>
        <w:t>Odborné znalosti</w:t>
      </w:r>
      <w:bookmarkEnd w:id="16"/>
    </w:p>
    <w:tbl>
      <w:tblGrid>
        <w:gridCol w:w="2000" w:type="dxa"/>
        <w:gridCol w:w="3000" w:type="dxa"/>
        <w:gridCol w:w="2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3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1-8</w:t>
            </w:r>
          </w:p>
        </w:tc>
        <w:tc>
          <w:tcPr>
            <w:tcW w:w="2000" w:type="dxa"/>
            <w:noWrap/>
          </w:tcPr>
          <w:p>
            <w:pPr/>
            <w:r>
              <w:rPr>
                <w:b w:val="1"/>
                <w:bCs w:val="1"/>
              </w:rPr>
              <w:t xml:space="preserve">Vhodnost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e81._.0015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elektrické stroje a přístroje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e82._.0012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venkovní elektrická vedení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e81._.0011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vnitřní elektrické rozvody a silnoproudá zařízení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j13._.0001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fyzika obecně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e81._.0099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ekonomika a řízení elektrotechnické výroby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7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e81._.0091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systémy a standardy jakosti a kvality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e81._.0081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technologie výroby elektrotechnických a elektronických součástek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elektrotechnika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technické kreslení v elektrotechnice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elektrotechnické materiály, vodiče, kabely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f21._.0001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základy ekologie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Nutné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e81._.0023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a číslicové obvody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e81._.0022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elektronické prvky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6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e81._.0004</w:t>
            </w:r>
          </w:p>
        </w:tc>
        <w:tc>
          <w:tcPr>
            <w:tcW w:w="3000" w:type="dxa"/>
            <w:noWrap/>
          </w:tcPr>
          <w:p>
            <w:pPr/>
            <w:r>
              <w:rPr/>
              <w:t xml:space="preserve">měření elektrických veličin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Výhodné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https://nsp.cz/downloads/Priloha_c2_manualu.pdf</w:t>
      </w:r>
    </w:p>
    <w:p/>
    <w:p>
      <w:pPr>
        <w:pStyle w:val="Heading3"/>
      </w:pPr>
      <w:bookmarkStart w:id="17" w:name="_Toc17"/>
      <w:r>
        <w:t>Digitální kompetence</w:t>
      </w:r>
      <w:bookmarkEnd w:id="17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1-4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Prohlížení, vyhledávání a filtrování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Kreativní využívání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potřeb a výběr vhodných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Řešení technických problémů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životního prostředí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zdraví a duševní pohody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osobních dat a soukromí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Ochrana zařízení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Autorská práva a licence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Integrace a přepracování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Tvorba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Netiketa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Spolupráce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Sdílení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Interakce prostřednictvím digitálních technologií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Správa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Hodnocení dat, informací a digitálního obsahu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5.4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Identifikace nedostatků v digitálních kompetencích  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https://nsp.cz/downloads/Priloha_c15_manualu.pdf</w:t>
      </w:r>
    </w:p>
    <w:p/>
    <w:p>
      <w:pPr>
        <w:pStyle w:val="Heading3"/>
      </w:pPr>
      <w:bookmarkStart w:id="18" w:name="_Toc18"/>
      <w:r>
        <w:t>Měkké kompetence</w:t>
      </w:r>
      <w:bookmarkEnd w:id="18"/>
    </w:p>
    <w:tbl>
      <w:tblGrid>
        <w:gridCol w:w="2000" w:type="dxa"/>
        <w:gridCol w:w="5000" w:type="dxa"/>
        <w:gridCol w:w="2000" w:type="dxa"/>
      </w:tblGrid>
      <w:tblPr>
        <w:jc w:val="start"/>
        <w:tblW w:w="0" w:type="auto"/>
        <w:tblCellSpacing w:w="50" w:type="dxa"/>
        <w:tblLayout w:type="autofit"/>
        <w:tblCellMar>
          <w:top w:w="80" w:type="dxa"/>
          <w:left w:w="80" w:type="dxa"/>
          <w:right w:w="80" w:type="dxa"/>
          <w:bottom w:w="80" w:type="dxa"/>
        </w:tblCellMar>
      </w:tblP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Kód</w:t>
            </w:r>
          </w:p>
        </w:tc>
        <w:tc>
          <w:tcPr>
            <w:tcW w:w="5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Název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>
                <w:b w:val="1"/>
                <w:bCs w:val="1"/>
              </w:rPr>
              <w:t xml:space="preserve">Úroveň 0-5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efektivní komunikaci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vedení lidí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objevování a orientaci v informacích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zvládání stresu a zátěže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aktivnímu přístupu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1.1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celoživotnímu vzdělávání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plánování a organizování práce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řešení problémů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4.5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samostatnosti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4.6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výkonnosti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4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orientaci na zákazníka a uspokojování zákaznických potřeb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flexibilitě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1.3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kreativitě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2.2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ke kooperaci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3</w:t>
            </w:r>
          </w:p>
        </w:tc>
      </w:tr>
      <w:tr>
        <w:trPr/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2.4</w:t>
            </w:r>
          </w:p>
        </w:tc>
        <w:tc>
          <w:tcPr>
            <w:tcW w:w="5000" w:type="dxa"/>
            <w:noWrap/>
          </w:tcPr>
          <w:p>
            <w:pPr/>
            <w:r>
              <w:rPr/>
              <w:t xml:space="preserve">Kompetence k ovlivňování a rozvíjení ostatních</w:t>
            </w:r>
          </w:p>
        </w:tc>
        <w:tc>
          <w:tcPr>
            <w:tcW w:w="2000" w:type="dxa"/>
            <w:noWrap/>
          </w:tcPr>
          <w:p>
            <w:pPr>
              <w:jc w:val="center"/>
            </w:pPr>
            <w:r>
              <w:rPr/>
              <w:t xml:space="preserve">0</w:t>
            </w:r>
          </w:p>
        </w:tc>
      </w:tr>
    </w:tbl>
    <w:p>
      <w:pPr/>
      <w:r>
        <w:rPr>
          <w:sz w:val="16"/>
          <w:szCs w:val="16"/>
          <w:i w:val="1"/>
          <w:iCs w:val="1"/>
        </w:rPr>
        <w:t xml:space="preserve">Popisy úrovní naleznete zde: https://nsp.cz/downloads/Priloha_c9_manualu.pdf</w:t>
      </w:r>
    </w:p>
    <w:p/>
    <w:p>
      <w:pPr>
        <w:pStyle w:val="Heading2"/>
      </w:pPr>
      <w:bookmarkStart w:id="19" w:name="_Toc19"/>
      <w:r>
        <w:t>Zdravotní podmínky</w:t>
      </w:r>
      <w:bookmarkEnd w:id="19"/>
    </w:p>
    <w:p>
      <w:pPr>
        <w:pStyle w:val="Heading3"/>
      </w:pPr>
      <w:bookmarkStart w:id="20" w:name="_Toc20"/>
      <w:r>
        <w:t>Onemocnění omezující výkon povolání / specializace povolání.</w:t>
      </w:r>
      <w:bookmarkEnd w:id="20"/>
    </w:p>
    <w:p>
      <w:pPr>
        <w:numPr>
          <w:ilvl w:val="0"/>
          <w:numId w:val="5"/>
        </w:numPr>
      </w:pPr>
      <w:r>
        <w:rPr/>
        <w:t xml:space="preserve">Závrať jakékoliv etiologie</w:t>
      </w:r>
    </w:p>
    <w:p>
      <w:pPr>
        <w:numPr>
          <w:ilvl w:val="0"/>
          <w:numId w:val="5"/>
        </w:numPr>
      </w:pPr>
      <w:r>
        <w:rPr/>
        <w:t xml:space="preserve">Duševní poruchy a poruchy chování</w:t>
      </w:r>
    </w:p>
    <w:p>
      <w:pPr>
        <w:pStyle w:val="Heading3"/>
      </w:pPr>
      <w:bookmarkStart w:id="21" w:name="_Toc21"/>
      <w:r>
        <w:t>Onemocnění vylučující výkon povolání / specializace povolání.e</w:t>
      </w:r>
      <w:bookmarkEnd w:id="21"/>
    </w:p>
    <w:p>
      <w:pPr>
        <w:numPr>
          <w:ilvl w:val="0"/>
          <w:numId w:val="5"/>
        </w:numPr>
      </w:pPr>
      <w:r>
        <w:rPr/>
        <w:t xml:space="preserve">Záchvatovité a kolapsové stavy</w:t>
      </w:r>
    </w:p>
    <w:p>
      <w:pPr/>
      <w:r>
        <w:rPr>
          <w:sz w:val="16"/>
          <w:szCs w:val="16"/>
          <w:i w:val="1"/>
          <w:iCs w:val="1"/>
        </w:rPr>
        <w:t xml:space="preserve">Přesné posouzení zdravotního stavu s následným doporučením nebo nedoporučením výkonu této pozice je možné pouze po konzultaci s lékařem.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">
    <w:nsid w:val="98B0C98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5">
    <w:abstractNumId w:val="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spacing w:after="120"/>
    </w:pPr>
    <w:rPr>
      <w:sz w:val="40"/>
      <w:szCs w:val="40"/>
      <w:b w:val="1"/>
      <w:bCs w:val="1"/>
    </w:rPr>
  </w:style>
  <w:style w:type="paragraph" w:styleId="Heading2">
    <w:link w:val="Heading2Char"/>
    <w:name w:val="heading 2"/>
    <w:basedOn w:val="Normal"/>
    <w:pPr>
      <w:spacing w:after="80"/>
    </w:pPr>
    <w:rPr>
      <w:sz w:val="28"/>
      <w:szCs w:val="28"/>
      <w:b w:val="1"/>
      <w:bCs w:val="1"/>
    </w:rPr>
  </w:style>
  <w:style w:type="paragraph" w:styleId="Heading3">
    <w:link w:val="Heading3Char"/>
    <w:name w:val="heading 3"/>
    <w:basedOn w:val="Normal"/>
    <w:pPr>
      <w:spacing w:after="60"/>
    </w:pPr>
    <w:rPr>
      <w:sz w:val="24"/>
      <w:szCs w:val="24"/>
      <w:b w:val="1"/>
      <w:bCs w:val="1"/>
    </w:rPr>
  </w:style>
  <w:style w:type="paragraph" w:styleId="Heading4">
    <w:link w:val="Heading4Char"/>
    <w:name w:val="heading 4"/>
    <w:basedOn w:val="Normal"/>
    <w:pPr>
      <w:spacing w:after="60"/>
    </w:pPr>
    <w:rPr>
      <w:sz w:val="24"/>
      <w:szCs w:val="24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FDV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NSP.CZ</dc:creator>
  <dc:title>Samostatný elektrotechnik manažer provozu</dc:title>
  <dc:description>Samostatný elektrotechnik manažer provozu řídí a organizuje práci elektrotechniků, mistrů na vymezeném technologickém úseku při zajišťování náročné elektrotechnické výroby, montáže nebo provozu složitých elektrických zařízení.</dc:description>
  <dc:subject/>
  <cp:keywords/>
  <cp:category>Povolání</cp:category>
  <cp:lastModifiedBy/>
  <dcterms:created xsi:type="dcterms:W3CDTF">2017-11-22T09:13:29+00:00</dcterms:created>
  <dcterms:modified xsi:type="dcterms:W3CDTF">2017-11-22T09:55:30+00:00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