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zájmového vzdělávání</w:t>
      </w:r>
      <w:bookmarkEnd w:id="1"/>
    </w:p>
    <w:p>
      <w:pPr/>
      <w:r>
        <w:rPr/>
        <w:t xml:space="preserve"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zájmové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zájmového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zájmového vzdělávání.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zájmového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zájmového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zájmového vzdělávání (včetně legislativy Evropské unie v této oblasti).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Spolupráce s nestátními neziskovými organizacemi a podpora jejich činnosti.</w:t>
      </w:r>
    </w:p>
    <w:p>
      <w:pPr>
        <w:numPr>
          <w:ilvl w:val="0"/>
          <w:numId w:val="5"/>
        </w:numPr>
      </w:pPr>
      <w:r>
        <w:rPr/>
        <w:t xml:space="preserve">Problematika neformálního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zájmového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podpora mezinárodní spolupráce v oblasti mládeže a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886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zájmového vzdělávání</dc:title>
  <dc:description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