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stráže</w:t>
      </w:r>
      <w:bookmarkEnd w:id="1"/>
    </w:p>
    <w:p>
      <w:pPr/>
      <w:r>
        <w:rPr/>
        <w:t xml:space="preserve">Jednotka práce bude aktualizována v souladu s platnou legislativou v průběhu roku 2017 – 2018.
Rada vězeňské stráže v souladu se zákonnými normami a předpisy, komplexně řídí fungování systému vězeňské stráže, ostrahu věznic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a opatření pro předvádění a eskortování osob ve výkonu vazby a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střežení osob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prevence trestné činnosti a výchovy osob při výkonu vazby nebo trestu odnětí svobody a vytváření příznivých předpokladů pro jejich nekonfliktní způsob života po propuštění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osob ve výkonu vazby a výkonu trestu odnětí svobody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provozování hospodářské činnosti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D0BF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stráže</dc:title>
  <dc:description>Jednotka práce bude aktualizována v souladu s platnou legislativou v průběhu roku 2017 – 2018.
Rada vězeňské stráže v souladu se zákonnými normami a předpisy, komplexně řídí fungování systému vězeňské stráže, ostrahu věznic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2017-11-22T09:12:52+01:00</dcterms:created>
  <dcterms:modified xsi:type="dcterms:W3CDTF">2017-11-22T09:43:00+01:00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