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Rada vězeňské stráže</w:t>
      </w:r>
      <w:bookmarkEnd w:id="1"/>
    </w:p>
    <w:p>
      <w:pPr/>
      <w:r>
        <w:rPr/>
        <w:t xml:space="preserve">Jednotka práce bude aktualizována v souladu s platnou legislativou v průběhu roku 2017 – 2018.
Rada vězeňské stráže v souladu se zákonnými normami a předpisy, komplexně řídí fungování systému vězeňské stráže, ostrahu věznic a osob při výkonu vazby nebo trestu odnětí svobody.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w:t>
      </w:r>
    </w:p>
    <w:p/>
    <w:tbl>
      <w:tblGrid>
        <w:gridCol w:w="3000" w:type="dxa"/>
        <w:gridCol w:w="6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/>
            <w:r>
              <w:rPr>
                <w:b w:val="1"/>
                <w:bCs w:val="1"/>
              </w:rPr>
              <w:t xml:space="preserve">Odborný směr:</w:t>
            </w:r>
          </w:p>
        </w:tc>
        <w:tc>
          <w:tcPr>
            <w:tcW w:w="6000" w:type="dxa"/>
          </w:tcPr>
          <w:p>
            <w:pPr/>
            <w:r>
              <w:rPr/>
              <w:t xml:space="preserve">Ozbrojené síly a bezpečnostní sbory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Odborný podsměr:</w:t>
            </w:r>
          </w:p>
        </w:tc>
        <w:tc>
          <w:tcPr/>
          <w:p>
            <w:pPr/>
            <w:r>
              <w:rPr/>
              <w:t xml:space="preserve">Vězeňská služba ČR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Kvalifikační úroveň:</w:t>
            </w:r>
          </w:p>
        </w:tc>
        <w:tc>
          <w:tcPr/>
          <w:p>
            <w:pPr/>
            <w:r>
              <w:rPr/>
              <w:t xml:space="preserve">Magisterský studijní program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Nadřízené povolání:</w:t>
            </w:r>
          </w:p>
        </w:tc>
        <w:tc>
          <w:tcPr/>
          <w:p>
            <w:pPr/>
            <w:r>
              <w:rPr/>
              <w:t xml:space="preserve">Rada vězeňské služby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Příbuzné specializace:</w:t>
            </w:r>
          </w:p>
        </w:tc>
        <w:tc>
          <w:tcPr/>
          <w:p>
            <w:pPr/>
            <w:r>
              <w:rPr/>
              <w:t xml:space="preserve">Rada justiční stráže, Rada vězeňské stráže</w:t>
            </w:r>
          </w:p>
        </w:tc>
      </w:tr>
      <w:tr>
        <w:trPr/>
        <w:tc>
          <w:tcPr/>
          <w:p>
            <w:pPr/>
            <w:r>
              <w:rPr>
                <w:b w:val="1"/>
                <w:bCs w:val="1"/>
              </w:rPr>
              <w:t xml:space="preserve">Regulovaná jednotka práce:</w:t>
            </w:r>
          </w:p>
        </w:tc>
        <w:tc>
          <w:tcPr/>
          <w:p>
            <w:pPr/>
            <w:r>
              <w:rPr/>
              <w:t xml:space="preserve">Ano</w:t>
            </w:r>
          </w:p>
        </w:tc>
      </w:tr>
    </w:tbl>
    <w:p/>
    <w:p>
      <w:pPr>
        <w:pStyle w:val="Heading2"/>
      </w:pPr>
      <w:bookmarkStart w:id="2" w:name="_Toc2"/>
      <w:r>
        <w:t>CZ-ISCO</w:t>
      </w:r>
      <w:bookmarkEnd w:id="2"/>
    </w:p>
    <w:p>
      <w:pPr>
        <w:numPr>
          <w:ilvl w:val="0"/>
          <w:numId w:val="5"/>
        </w:numPr>
      </w:pPr>
      <w:r>
        <w:rPr/>
        <w:t xml:space="preserve">Radové Vězeňské služby ČR</w:t>
      </w:r>
    </w:p>
    <w:p>
      <w:pPr>
        <w:numPr>
          <w:ilvl w:val="0"/>
          <w:numId w:val="5"/>
        </w:numPr>
      </w:pPr>
      <w:r>
        <w:rPr/>
        <w:t xml:space="preserve">Pracovníci vězeňské služby</w:t>
      </w:r>
    </w:p>
    <w:p/>
    <w:p>
      <w:pPr>
        <w:pStyle w:val="Heading3"/>
      </w:pPr>
      <w:bookmarkStart w:id="3" w:name="_Toc3"/>
      <w:r>
        <w:t>Hrubé měsíční mzdy v roce 2020 celkem</w:t>
      </w:r>
      <w:bookmarkEnd w:id="3"/>
    </w:p>
    <w:tbl>
      <w:tblGrid>
        <w:gridCol w:w="1000" w:type="dxa"/>
        <w:gridCol w:w="2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  <w:gridSpan w:val="2"/>
          </w:tcPr>
          <w:p/>
        </w:tc>
        <w:tc>
          <w:tcPr>
            <w:tcW w:w="6000" w:type="dxa"/>
            <w:gridSpan w:val="2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Medián za ČR celkem</w:t>
            </w:r>
          </w:p>
        </w:tc>
      </w:tr>
      <w:tr>
        <w:trPr/>
        <w:tc>
          <w:tcPr>
            <w:tcW w:w="1000" w:type="dxa"/>
          </w:tcPr>
          <w:p>
            <w:pPr/>
            <w:r>
              <w:rPr>
                <w:b w:val="1"/>
                <w:bCs w:val="1"/>
              </w:rPr>
              <w:t xml:space="preserve">CZ-ISCO</w:t>
            </w:r>
          </w:p>
        </w:tc>
        <w:tc>
          <w:tcPr>
            <w:tcW w:w="2000" w:type="dxa"/>
          </w:tcPr>
          <w:p/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Mzdová sféra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Platová sféra</w:t>
            </w:r>
          </w:p>
        </w:tc>
      </w:tr>
      <w:tr>
        <w:trPr/>
        <w:tc>
          <w:tcPr>
            <w:tcW w:w="1000" w:type="dxa"/>
          </w:tcPr>
          <w:p>
            <w:pPr>
              <w:jc w:val="center"/>
            </w:pPr>
            <w:r>
              <w:rPr/>
              <w:t xml:space="preserve">5413</w:t>
            </w:r>
          </w:p>
        </w:tc>
        <w:tc>
          <w:tcPr>
            <w:tcW w:w="2000" w:type="dxa"/>
          </w:tcPr>
          <w:p>
            <w:pPr/>
            <w:r>
              <w:rPr/>
              <w:t xml:space="preserve">Pracovníci vězeňské služby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44 110 Kč</w:t>
            </w:r>
          </w:p>
        </w:tc>
        <w:tc>
          <w:tcPr>
            <w:tcW w:w="1000" w:type="dxa"/>
          </w:tcPr>
          <w:p>
            <w:pPr>
              <w:jc w:val="center"/>
            </w:pPr>
            <w:r>
              <w:rPr/>
              <w:t xml:space="preserve">-</w:t>
            </w:r>
          </w:p>
        </w:tc>
      </w:tr>
    </w:tbl>
    <w:p/>
    <w:p>
      <w:pPr>
        <w:pStyle w:val="Heading2"/>
      </w:pPr>
      <w:bookmarkStart w:id="4" w:name="_Toc4"/>
      <w:r>
        <w:t>ESCO</w:t>
      </w:r>
      <w:bookmarkEnd w:id="4"/>
    </w:p>
    <w:tbl>
      <w:tblGrid>
        <w:gridCol w:w="3000" w:type="dxa"/>
        <w:gridCol w:w="3000" w:type="dxa"/>
        <w:gridCol w:w="3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 podskupiny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 podskupiny v ESCO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URL - podskupiny v ESCO</w:t>
            </w:r>
          </w:p>
        </w:tc>
      </w:tr>
      <w:tr>
        <w:trPr/>
        <w:tc>
          <w:tcPr>
            <w:tcW w:w="3000" w:type="dxa"/>
          </w:tcPr>
          <w:p>
            <w:pPr/>
            <w:r>
              <w:rPr/>
              <w:t xml:space="preserve">5413</w:t>
            </w:r>
          </w:p>
        </w:tc>
        <w:tc>
          <w:tcPr>
            <w:tcW w:w="3000" w:type="dxa"/>
          </w:tcPr>
          <w:p>
            <w:pPr/>
            <w:r>
              <w:rPr/>
              <w:t xml:space="preserve">Dozorci ve věznicích</w:t>
            </w:r>
          </w:p>
        </w:tc>
        <w:tc>
          <w:tcPr>
            <w:tcW w:w="3000" w:type="dxa"/>
          </w:tcPr>
          <w:p>
            <w:pPr/>
            <w:r>
              <w:rPr/>
              <w:t xml:space="preserve">http://data.europa.eu/esco/isco/C5413</w:t>
            </w:r>
          </w:p>
        </w:tc>
      </w:tr>
    </w:tbl>
    <w:p/>
    <w:p/>
    <w:p/>
    <w:p>
      <w:pPr>
        <w:pStyle w:val="Heading2"/>
      </w:pPr>
      <w:bookmarkStart w:id="5" w:name="_Toc5"/>
      <w:r>
        <w:t>Kvalifikace k výkonu povolání</w:t>
      </w:r>
      <w:bookmarkEnd w:id="5"/>
    </w:p>
    <w:p>
      <w:pPr>
        <w:pStyle w:val="Heading3"/>
      </w:pPr>
      <w:bookmarkStart w:id="6" w:name="_Toc6"/>
      <w:r>
        <w:t>Školní vzdělání</w:t>
      </w:r>
      <w:bookmarkEnd w:id="6"/>
    </w:p>
    <w:p/>
    <w:p>
      <w:pPr>
        <w:pStyle w:val="Heading4"/>
      </w:pPr>
      <w:bookmarkStart w:id="7" w:name="_Toc7"/>
      <w:r>
        <w:t>Nejvhodnější školní přípravu poskytují obory:</w:t>
      </w:r>
      <w:bookmarkEnd w:id="7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 ve skupině oborů právo, právní a veřejnosprávní činnost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68xxT</w:t>
            </w:r>
          </w:p>
        </w:tc>
      </w:tr>
    </w:tbl>
    <w:p/>
    <w:p>
      <w:pPr>
        <w:pStyle w:val="Heading4"/>
      </w:pPr>
      <w:bookmarkStart w:id="8" w:name="_Toc8"/>
      <w:r>
        <w:t>Vhodnou školní přípravu poskytují také obory:</w:t>
      </w:r>
      <w:bookmarkEnd w:id="8"/>
    </w:p>
    <w:tbl>
      <w:tblGrid>
        <w:gridCol w:w="2000" w:type="dxa"/>
        <w:gridCol w:w="5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Typ</w:t>
            </w:r>
          </w:p>
        </w:tc>
        <w:tc>
          <w:tcPr>
            <w:tcW w:w="5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KKOV</w:t>
            </w:r>
          </w:p>
        </w:tc>
        <w:tc>
          <w:tcPr>
            <w:tcW w:w="5000" w:type="dxa"/>
          </w:tcPr>
          <w:p>
            <w:pPr/>
            <w:r>
              <w:rPr/>
              <w:t xml:space="preserve">Magisterský studijní program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xxxxT</w:t>
            </w:r>
          </w:p>
        </w:tc>
      </w:tr>
    </w:tbl>
    <w:p>
      <w:pPr>
        <w:pStyle w:val="Heading3"/>
      </w:pPr>
      <w:bookmarkStart w:id="9" w:name="_Toc9"/>
      <w:r>
        <w:t>Další vhodné kvalifikace</w:t>
      </w:r>
      <w:bookmarkEnd w:id="9"/>
    </w:p>
    <w:p>
      <w:pPr>
        <w:numPr>
          <w:ilvl w:val="0"/>
          <w:numId w:val="5"/>
        </w:numPr>
      </w:pPr>
      <w:r>
        <w:rPr/>
        <w:t xml:space="preserve">povinné - Vzdělávání a výcvik v rámci příslušných složek Ministerstva spravedlnosti</w:t>
      </w:r>
    </w:p>
    <w:p/>
    <w:p/>
    <w:p>
      <w:pPr>
        <w:pStyle w:val="Heading2"/>
      </w:pPr>
      <w:bookmarkStart w:id="10" w:name="_Toc10"/>
      <w:r>
        <w:t>Kompetenční požadavky</w:t>
      </w:r>
      <w:bookmarkEnd w:id="10"/>
    </w:p>
    <w:p>
      <w:pPr>
        <w:pStyle w:val="Heading3"/>
      </w:pPr>
      <w:bookmarkStart w:id="11" w:name="_Toc11"/>
      <w:r>
        <w:t>Odborné dovednosti</w:t>
      </w:r>
      <w:bookmarkEnd w:id="11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zásad a opatření pro předvádění a eskortování osob ve výkonu vazby a ve výkonu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l21.D.2222</w:t>
            </w:r>
          </w:p>
        </w:tc>
        <w:tc>
          <w:tcPr>
            <w:tcW w:w="3000" w:type="dxa"/>
          </w:tcPr>
          <w:p>
            <w:pPr/>
            <w:r>
              <w:rPr/>
              <w:t xml:space="preserve">Stanovování koncepce systému střežení osob ve věznici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l21.D.2223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služební odborné přípravy podřízených pracovníků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l21.D.2311</w:t>
            </w:r>
          </w:p>
        </w:tc>
        <w:tc>
          <w:tcPr>
            <w:tcW w:w="3000" w:type="dxa"/>
          </w:tcPr>
          <w:p>
            <w:pPr/>
            <w:r>
              <w:rPr/>
              <w:t xml:space="preserve">Zpracovávání koncepcí prevence trestné činnosti a výchovy osob při výkonu vazby nebo trestu odnětí svobody a vytváření příznivých předpokladů pro jejich nekonfliktní způsob života po propuštění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l21.D.8223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příslušné dokumentace v oblasti rady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l21.D.8311</w:t>
            </w:r>
          </w:p>
        </w:tc>
        <w:tc>
          <w:tcPr>
            <w:tcW w:w="3000" w:type="dxa"/>
          </w:tcPr>
          <w:p>
            <w:pPr/>
            <w:r>
              <w:rPr/>
              <w:t xml:space="preserve">Vedení evidence osob ve výkonu vazby a výkonu trestu odnětí svobody ve věznici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l21.Z.2221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provozování hospodářské činnosti věznice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l21.Z.2511</w:t>
            </w:r>
          </w:p>
        </w:tc>
        <w:tc>
          <w:tcPr>
            <w:tcW w:w="3000" w:type="dxa"/>
          </w:tcPr>
          <w:p>
            <w:pPr/>
            <w:r>
              <w:rPr/>
              <w:t xml:space="preserve">Řízení systému střežení věznice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>
        <w:pStyle w:val="Heading3"/>
      </w:pPr>
      <w:bookmarkStart w:id="12" w:name="_Toc12"/>
      <w:r>
        <w:t>Odborné znalosti</w:t>
      </w:r>
      <w:bookmarkEnd w:id="12"/>
    </w:p>
    <w:tbl>
      <w:tblGrid>
        <w:gridCol w:w="2000" w:type="dxa"/>
        <w:gridCol w:w="3000" w:type="dxa"/>
        <w:gridCol w:w="2000" w:type="dxa"/>
        <w:gridCol w:w="2000" w:type="dxa"/>
      </w:tblGrid>
      <w:tblPr>
        <w:jc w:val="start"/>
        <w:tblW w:w="0" w:type="auto"/>
        <w:tblCellSpacing w:w="50" w:type="dxa"/>
        <w:tblLayout w:type="autofit"/>
        <w:bidiVisual w:val="0"/>
        <w:tblCellMar>
          <w:top w:w="80" w:type="dxa"/>
          <w:left w:w="80" w:type="dxa"/>
          <w:right w:w="80" w:type="dxa"/>
          <w:bottom w:w="80" w:type="dxa"/>
        </w:tblCellMar>
      </w:tblPr>
      <w:tr>
        <w:trPr/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Kód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Název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>
                <w:b w:val="1"/>
                <w:bCs w:val="1"/>
              </w:rPr>
              <w:t xml:space="preserve">Úroveň 1-8</w:t>
            </w:r>
          </w:p>
        </w:tc>
        <w:tc>
          <w:tcPr>
            <w:tcW w:w="2000" w:type="dxa"/>
          </w:tcPr>
          <w:p>
            <w:pPr/>
            <w:r>
              <w:rPr>
                <w:b w:val="1"/>
                <w:bCs w:val="1"/>
              </w:rPr>
              <w:t xml:space="preserve">Vhodnost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l21._.0022</w:t>
            </w:r>
          </w:p>
        </w:tc>
        <w:tc>
          <w:tcPr>
            <w:tcW w:w="3000" w:type="dxa"/>
          </w:tcPr>
          <w:p>
            <w:pPr/>
            <w:r>
              <w:rPr/>
              <w:t xml:space="preserve">činnost vězeňské stráže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l21._.0031</w:t>
            </w:r>
          </w:p>
        </w:tc>
        <w:tc>
          <w:tcPr>
            <w:tcW w:w="3000" w:type="dxa"/>
          </w:tcPr>
          <w:p>
            <w:pPr/>
            <w:r>
              <w:rPr/>
              <w:t xml:space="preserve">zásady a předpisy výkonu vazby a trestu odnětí svobody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  <w:tr>
        <w:trPr/>
        <w:tc>
          <w:tcPr>
            <w:tcW w:w="2000" w:type="dxa"/>
          </w:tcPr>
          <w:p>
            <w:pPr>
              <w:jc w:val="center"/>
            </w:pPr>
            <w:r>
              <w:rPr/>
              <w:t xml:space="preserve">l21._.0051</w:t>
            </w:r>
          </w:p>
        </w:tc>
        <w:tc>
          <w:tcPr>
            <w:tcW w:w="3000" w:type="dxa"/>
          </w:tcPr>
          <w:p>
            <w:pPr/>
            <w:r>
              <w:rPr/>
              <w:t xml:space="preserve">ochrana a ostraha objektů, osob a majetku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7</w:t>
            </w:r>
          </w:p>
        </w:tc>
        <w:tc>
          <w:tcPr>
            <w:tcW w:w="2000" w:type="dxa"/>
          </w:tcPr>
          <w:p>
            <w:pPr>
              <w:jc w:val="center"/>
            </w:pPr>
            <w:r>
              <w:rPr/>
              <w:t xml:space="preserve">Nutné</w:t>
            </w:r>
          </w:p>
        </w:tc>
      </w:tr>
    </w:tbl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https://nsp.cz/downloads/Priloha_c2_manualu.pdf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https://nsp.cz/downloads/Priloha_c10_manualu.pdf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https://nsp.cz/downloads/Priloha_c15_manualu.pdf</w:t>
      </w:r>
    </w:p>
    <w:p/>
    <w:p>
      <w:pPr/>
      <w:r>
        <w:rPr>
          <w:sz w:val="16"/>
          <w:szCs w:val="16"/>
          <w:i w:val="1"/>
          <w:iCs w:val="1"/>
        </w:rPr>
        <w:t xml:space="preserve">Popisy úrovní naleznete zde: https://nsp.cz/downloads/Priloha_c9_manualu.pdf</w:t>
      </w:r>
    </w:p>
    <w:p/>
    <w:p>
      <w:pPr>
        <w:pStyle w:val="Heading2"/>
      </w:pPr>
      <w:bookmarkStart w:id="13" w:name="_Toc13"/>
      <w:r>
        <w:t>Zdravotní podmínky</w:t>
      </w:r>
      <w:bookmarkEnd w:id="13"/>
    </w:p>
    <w:p>
      <w:pPr>
        <w:pStyle w:val="Heading3"/>
      </w:pPr>
      <w:bookmarkStart w:id="14" w:name="_Toc14"/>
      <w:r>
        <w:t>Onemocnění omezující výkon povolání / specializace povolání.</w:t>
      </w:r>
      <w:bookmarkEnd w:id="14"/>
    </w:p>
    <w:p>
      <w:pPr>
        <w:numPr>
          <w:ilvl w:val="0"/>
          <w:numId w:val="5"/>
        </w:numPr>
      </w:pPr>
      <w:r>
        <w:rPr/>
        <w:t xml:space="preserve">Závažná endokrinní onemocnění</w:t>
      </w:r>
    </w:p>
    <w:p>
      <w:pPr>
        <w:numPr>
          <w:ilvl w:val="0"/>
          <w:numId w:val="5"/>
        </w:numPr>
      </w:pPr>
      <w:r>
        <w:rPr/>
        <w:t xml:space="preserve">Poruchy vidění</w:t>
      </w:r>
    </w:p>
    <w:p>
      <w:pPr>
        <w:numPr>
          <w:ilvl w:val="0"/>
          <w:numId w:val="5"/>
        </w:numPr>
      </w:pPr>
      <w:r>
        <w:rPr/>
        <w:t xml:space="preserve">Duševní poruchy</w:t>
      </w:r>
    </w:p>
    <w:p>
      <w:pPr>
        <w:numPr>
          <w:ilvl w:val="0"/>
          <w:numId w:val="5"/>
        </w:numPr>
      </w:pPr>
      <w:r>
        <w:rPr/>
        <w:t xml:space="preserve">Poruchy chování</w:t>
      </w:r>
    </w:p>
    <w:p>
      <w:pPr>
        <w:numPr>
          <w:ilvl w:val="0"/>
          <w:numId w:val="5"/>
        </w:numPr>
      </w:pPr>
      <w:r>
        <w:rPr/>
        <w:t xml:space="preserve">Závažná psychosomatická onemocnění</w:t>
      </w:r>
    </w:p>
    <w:p>
      <w:pPr>
        <w:numPr>
          <w:ilvl w:val="0"/>
          <w:numId w:val="5"/>
        </w:numPr>
      </w:pPr>
      <w:r>
        <w:rPr/>
        <w:t xml:space="preserve">Drogová závislost v anamnéze</w:t>
      </w:r>
    </w:p>
    <w:p>
      <w:pPr>
        <w:numPr>
          <w:ilvl w:val="0"/>
          <w:numId w:val="5"/>
        </w:numPr>
      </w:pPr>
      <w:r>
        <w:rPr/>
        <w:t xml:space="preserve">Epilepsie a jiná záchvatová onemocnění</w:t>
      </w:r>
    </w:p>
    <w:p>
      <w:pPr>
        <w:numPr>
          <w:ilvl w:val="0"/>
          <w:numId w:val="5"/>
        </w:numPr>
      </w:pPr>
      <w:r>
        <w:rPr/>
        <w:t xml:space="preserve">Závažná nervová onemocnění</w:t>
      </w:r>
    </w:p>
    <w:p>
      <w:pPr>
        <w:pStyle w:val="Heading3"/>
      </w:pPr>
      <w:bookmarkStart w:id="15" w:name="_Toc15"/>
      <w:r>
        <w:t>Onemocnění vylučující výkon povolání / specializace povolání.e</w:t>
      </w:r>
      <w:bookmarkEnd w:id="15"/>
    </w:p>
    <w:p>
      <w:pPr>
        <w:numPr>
          <w:ilvl w:val="0"/>
          <w:numId w:val="5"/>
        </w:numPr>
      </w:pPr>
      <w:r>
        <w:rPr/>
        <w:t xml:space="preserve">Záchvatovité a kolapsové stavy</w:t>
      </w:r>
    </w:p>
    <w:p>
      <w:pPr/>
      <w:r>
        <w:rPr>
          <w:sz w:val="16"/>
          <w:szCs w:val="16"/>
          <w:i w:val="1"/>
          <w:iCs w:val="1"/>
        </w:rPr>
        <w:t xml:space="preserve">Přesné posouzení zdravotního stavu s následným doporučením nebo nedoporučením výkonu této pozice je možné pouze po konzultaci s lékařem.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5">
    <w:nsid w:val="82C48C06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5">
    <w:abstractNumId w:val="5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spacing w:after="120"/>
    </w:pPr>
    <w:rPr>
      <w:sz w:val="40"/>
      <w:szCs w:val="40"/>
      <w:b w:val="1"/>
      <w:bCs w:val="1"/>
    </w:rPr>
  </w:style>
  <w:style w:type="paragraph" w:styleId="Heading2">
    <w:link w:val="Heading2Char"/>
    <w:name w:val="heading 2"/>
    <w:basedOn w:val="Normal"/>
    <w:pPr>
      <w:spacing w:after="80"/>
    </w:pPr>
    <w:rPr>
      <w:sz w:val="28"/>
      <w:szCs w:val="28"/>
      <w:b w:val="1"/>
      <w:bCs w:val="1"/>
    </w:rPr>
  </w:style>
  <w:style w:type="paragraph" w:styleId="Heading3">
    <w:link w:val="Heading3Char"/>
    <w:name w:val="heading 3"/>
    <w:basedOn w:val="Normal"/>
    <w:pPr>
      <w:spacing w:after="60"/>
    </w:pPr>
    <w:rPr>
      <w:sz w:val="24"/>
      <w:szCs w:val="24"/>
      <w:b w:val="1"/>
      <w:bCs w:val="1"/>
    </w:rPr>
  </w:style>
  <w:style w:type="paragraph" w:styleId="Heading4">
    <w:link w:val="Heading4Char"/>
    <w:name w:val="heading 4"/>
    <w:basedOn w:val="Normal"/>
    <w:pPr>
      <w:spacing w:after="6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FDV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NSP.CZ</dc:creator>
  <dc:title>Rada vězeňské stráže</dc:title>
  <dc:description>Jednotka práce bude aktualizována v souladu s platnou legislativou v průběhu roku 2017 – 2018.
Rada vězeňské stráže v souladu se zákonnými normami a předpisy, komplexně řídí fungování systému vězeňské stráže, ostrahu věznic a osob při výkonu vazby nebo trestu odnětí svobody.
Toto povolání je vykonáváno v souladu se zákonem č. 555/1992 Sb., o Vězeňské službě a justiční stráži České republiky, zákonem č. 361/2003 Sb., o služebním poměru příslušníků bezpečnostních sborů a vyhláškou č. 393/2006 Sb., o zdravotní způsobilosti.</dc:description>
  <dc:subject/>
  <cp:keywords/>
  <cp:category>Specializace</cp:category>
  <cp:lastModifiedBy/>
  <dcterms:created xsi:type="dcterms:W3CDTF">2017-11-22T09:12:52+01:00</dcterms:created>
  <dcterms:modified xsi:type="dcterms:W3CDTF">2017-11-22T09:43:00+01:00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