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zahraničního obchodu</w:t>
      </w:r>
      <w:bookmarkEnd w:id="1"/>
    </w:p>
    <w:p>
      <w:pPr/>
      <w:r>
        <w:rPr/>
        <w:t xml:space="preserve">Manažer zahraničního obchodu reprezentuje společnost v zahraničních obchodních záležitostech, vytváří a realizuje obchodní strategii firmy v oblasti zahraničního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ředitel, Ředitel úseku zahraničního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firmy v oblasti zahraničního obchodu.</w:t>
      </w:r>
    </w:p>
    <w:p>
      <w:pPr>
        <w:numPr>
          <w:ilvl w:val="0"/>
          <w:numId w:val="5"/>
        </w:numPr>
      </w:pPr>
      <w:r>
        <w:rPr/>
        <w:t xml:space="preserve">Sestavování marketingových plánů pro prodej zboží a výrobků zahraničním obchodním partnerům.</w:t>
      </w:r>
    </w:p>
    <w:p>
      <w:pPr>
        <w:numPr>
          <w:ilvl w:val="0"/>
          <w:numId w:val="5"/>
        </w:numPr>
      </w:pPr>
      <w:r>
        <w:rPr/>
        <w:t xml:space="preserve">Aktivní vyhledávání nových obchodních příležitostí na zahraničních trzích.</w:t>
      </w:r>
    </w:p>
    <w:p>
      <w:pPr>
        <w:numPr>
          <w:ilvl w:val="0"/>
          <w:numId w:val="5"/>
        </w:numPr>
      </w:pPr>
      <w:r>
        <w:rPr/>
        <w:t xml:space="preserve">Provádění průzkumů a analýz zahraničních trhů.</w:t>
      </w:r>
    </w:p>
    <w:p>
      <w:pPr>
        <w:numPr>
          <w:ilvl w:val="0"/>
          <w:numId w:val="5"/>
        </w:numPr>
      </w:pPr>
      <w:r>
        <w:rPr/>
        <w:t xml:space="preserve">Řízení efektivního hospodaření a výkonnosti svěřeného útvaru.</w:t>
      </w:r>
    </w:p>
    <w:p>
      <w:pPr>
        <w:numPr>
          <w:ilvl w:val="0"/>
          <w:numId w:val="5"/>
        </w:numPr>
      </w:pPr>
      <w:r>
        <w:rPr/>
        <w:t xml:space="preserve">Příprava a realizace obchodních případů až po uzavření obchodních smluv.</w:t>
      </w:r>
    </w:p>
    <w:p>
      <w:pPr>
        <w:numPr>
          <w:ilvl w:val="0"/>
          <w:numId w:val="5"/>
        </w:numPr>
      </w:pPr>
      <w:r>
        <w:rPr/>
        <w:t xml:space="preserve">Koordinace činností s ostatními útvary společnosti.</w:t>
      </w:r>
    </w:p>
    <w:p>
      <w:pPr>
        <w:numPr>
          <w:ilvl w:val="0"/>
          <w:numId w:val="5"/>
        </w:numPr>
      </w:pPr>
      <w:r>
        <w:rPr/>
        <w:t xml:space="preserve">Navazování, udržování a rozšiřování vztahů se zahraničními obchodními partnery.</w:t>
      </w:r>
    </w:p>
    <w:p>
      <w:pPr>
        <w:numPr>
          <w:ilvl w:val="0"/>
          <w:numId w:val="5"/>
        </w:numPr>
      </w:pPr>
      <w:r>
        <w:rPr/>
        <w:t xml:space="preserve">Prezentace nabízených řešení zahraničním obchodním partnerům.</w:t>
      </w:r>
    </w:p>
    <w:p>
      <w:pPr>
        <w:numPr>
          <w:ilvl w:val="0"/>
          <w:numId w:val="5"/>
        </w:numPr>
      </w:pPr>
      <w:r>
        <w:rPr/>
        <w:t xml:space="preserve">Příprava podkladů a zpracování cenových kalkulací.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služeb</w:t>
      </w:r>
    </w:p>
    <w:p>
      <w:pPr>
        <w:numPr>
          <w:ilvl w:val="0"/>
          <w:numId w:val="5"/>
        </w:numPr>
      </w:pPr>
      <w:r>
        <w:rPr/>
        <w:t xml:space="preserve">Specialisté v oblasti zahraničních vztahů a služeb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prodeje a nákupu informačních a komunikačních technologií (CZ-ISCO 2434)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Specialisté v oblasti strategie a politiky organizací (CZ-ISCO 2422)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zahraničních vztahů a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77 829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teritoriální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zahraničních styků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smluv s obchodními partnery (tuzemskými i zahraničními)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potřeb a změn trhu, zpracovávání výsledků a navrhování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usměrňování cenové politiky v rámci implementace marketingových plánů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průběhu a výsledků uplatňování obchodní a odbytové strategie organizace, tvorba zpráv a doporučení pro zajištění úspěšného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obchodních koncepcí organizace, rozhodování o obchodní strategii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reprezentace firmy (velkoobchodního skladu) v rámci tuzemského a zahraničního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obchodních zájmů -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66C2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zahraničního obchodu</dc:title>
  <dc:description>Manažer zahraničního obchodu reprezentuje společnost v zahraničních obchodních záležitostech, vytváří a realizuje obchodní strategii firmy v oblasti zahraničního obchodu.</dc:description>
  <dc:subject/>
  <cp:keywords/>
  <cp:category>Povolání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