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dopravy</w:t>
      </w:r>
      <w:bookmarkEnd w:id="1"/>
    </w:p>
    <w:p>
      <w:pPr/>
      <w:r>
        <w:rPr/>
        <w:t xml:space="preserve">Specialista pro koncepce a rozvoj silniční dopravy zpracovává vývojové koncepce, metodiku a normotvornou činnost v oblasti silniční dopravy na úrovni orgánu státní správy nebo na úrovni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dopravě.</w:t>
      </w:r>
    </w:p>
    <w:p>
      <w:pPr>
        <w:numPr>
          <w:ilvl w:val="0"/>
          <w:numId w:val="5"/>
        </w:numPr>
      </w:pPr>
      <w:r>
        <w:rPr/>
        <w:t xml:space="preserve">Tvorba koncepce výhledového rozvoje sítě veřejné hromadné dopravy na území kraje.</w:t>
      </w:r>
    </w:p>
    <w:p>
      <w:pPr>
        <w:numPr>
          <w:ilvl w:val="0"/>
          <w:numId w:val="5"/>
        </w:numPr>
      </w:pPr>
      <w:r>
        <w:rPr/>
        <w:t xml:space="preserve">Tvorba koncepcí integrovaných systémů v kraji.</w:t>
      </w:r>
    </w:p>
    <w:p>
      <w:pPr>
        <w:numPr>
          <w:ilvl w:val="0"/>
          <w:numId w:val="5"/>
        </w:numPr>
      </w:pPr>
      <w:r>
        <w:rPr/>
        <w:t xml:space="preserve">Tvorba koncepce dopravních systémů a dopravní obslužnosti kraje.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zpracování a distribuce jízdních řádů silniční osobní dopravy a jejich změn na základě potřeb dopravní obslužnosti obcí a 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A23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dopravy</dc:title>
  <dc:description>Specialista pro koncepce a rozvoj silniční dopravy zpracovává vývojové koncepce, metodiku a normotvornou činnost v oblasti silniční dopravy na úrovni orgánu státní správy nebo na úrovni kraje.</dc:description>
  <dc:subject/>
  <cp:keywords/>
  <cp:category>Specializace</cp:category>
  <cp:lastModifiedBy/>
  <dcterms:created xsi:type="dcterms:W3CDTF">2017-11-22T09:12:29+01:00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