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vězeňské služby</w:t>
      </w:r>
      <w:bookmarkEnd w:id="1"/>
    </w:p>
    <w:p>
      <w:pPr/>
      <w:r>
        <w:rPr/>
        <w:t xml:space="preserve">Jednotka práce bude aktualizována v souladu s platnou legislativou v průběhu roku 2017 – 2018.
Rada vězeňské služby komplexně řídí fungování systému vězeňské služby, ostrahu věznic, objektů soudů, státních zastupitelství a osob při výkonu vazby nebo trestu odnětí svobody.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Rada justiční stráže, Rada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F458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vězeňské služby</dc:title>
  <dc:description>Jednotka práce bude aktualizována v souladu s platnou legislativou v průběhu roku 2017 – 2018.
Rada vězeňské služby komplexně řídí fungování systému vězeňské služby, ostrahu věznic, objektů soudů, státních zastupitelství a osob při výkonu vazby nebo trestu odnětí svobody.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2017-11-22T09:12:22+01:00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