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Pracovník poštovní přepážky univerzální</w:t>
      </w:r>
      <w:bookmarkEnd w:id="1"/>
    </w:p>
    <w:p>
      <w:pPr/>
      <w:r>
        <w:rPr/>
        <w:t xml:space="preserve">Pracovník poštovní přepážky univerzální poskytuje zákazníkům na poště široké portfolio poštovních služeb.</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Operátor přepážky</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Příjem a výdej poštovních zásilek a peněžních hotovostí.</w:t>
      </w:r>
    </w:p>
    <w:p>
      <w:pPr>
        <w:numPr>
          <w:ilvl w:val="0"/>
          <w:numId w:val="5"/>
        </w:numPr>
      </w:pPr>
      <w:r>
        <w:rPr/>
        <w:t xml:space="preserve">Prodej cenin a doplňkového sortimentu.</w:t>
      </w:r>
    </w:p>
    <w:p>
      <w:pPr>
        <w:numPr>
          <w:ilvl w:val="0"/>
          <w:numId w:val="5"/>
        </w:numPr>
      </w:pPr>
      <w:r>
        <w:rPr/>
        <w:t xml:space="preserve">Provádění bankovní činnosti.</w:t>
      </w:r>
    </w:p>
    <w:p>
      <w:pPr>
        <w:numPr>
          <w:ilvl w:val="0"/>
          <w:numId w:val="5"/>
        </w:numPr>
      </w:pPr>
      <w:r>
        <w:rPr/>
        <w:t xml:space="preserve">Provádění činnosti spojené se sázkovou službou.</w:t>
      </w:r>
    </w:p>
    <w:p>
      <w:pPr>
        <w:numPr>
          <w:ilvl w:val="0"/>
          <w:numId w:val="5"/>
        </w:numPr>
      </w:pPr>
      <w:r>
        <w:rPr/>
        <w:t xml:space="preserve">Provádění pojišťovací činnosti.</w:t>
      </w:r>
    </w:p>
    <w:p>
      <w:pPr>
        <w:numPr>
          <w:ilvl w:val="0"/>
          <w:numId w:val="5"/>
        </w:numPr>
      </w:pPr>
      <w:r>
        <w:rPr/>
        <w:t xml:space="preserve">Zabezpečení důchodové služby.</w:t>
      </w:r>
    </w:p>
    <w:p>
      <w:pPr>
        <w:numPr>
          <w:ilvl w:val="0"/>
          <w:numId w:val="5"/>
        </w:numPr>
      </w:pPr>
      <w:r>
        <w:rPr/>
        <w:t xml:space="preserve">Převzetí a uložení poštovních zásilek.</w:t>
      </w:r>
    </w:p>
    <w:p>
      <w:pPr>
        <w:numPr>
          <w:ilvl w:val="0"/>
          <w:numId w:val="5"/>
        </w:numPr>
      </w:pPr>
      <w:r>
        <w:rPr/>
        <w:t xml:space="preserve">Uzavření pracoviště přepážky na poště, vyúčtování poštovních zásilek a finančních hotovostí.</w:t>
      </w:r>
    </w:p>
    <w:p/>
    <w:p>
      <w:pPr>
        <w:pStyle w:val="Heading2"/>
      </w:pPr>
      <w:bookmarkStart w:id="3" w:name="_Toc3"/>
      <w:r>
        <w:t>CZ-ISCO</w:t>
      </w:r>
      <w:bookmarkEnd w:id="3"/>
    </w:p>
    <w:p>
      <w:pPr>
        <w:numPr>
          <w:ilvl w:val="0"/>
          <w:numId w:val="5"/>
        </w:numPr>
      </w:pPr>
      <w:r>
        <w:rPr/>
        <w:t xml:space="preserve">Přepážkoví pracovníci na poštách</w:t>
      </w:r>
    </w:p>
    <w:p>
      <w:pPr>
        <w:numPr>
          <w:ilvl w:val="0"/>
          <w:numId w:val="5"/>
        </w:numPr>
      </w:pPr>
      <w:r>
        <w:rPr/>
        <w:t xml:space="preserve">Pokladníci ve finančních institucích, na poštách a pracovníci v příbuzných oborech</w:t>
      </w:r>
    </w:p>
    <w:p/>
    <w:p>
      <w:pPr>
        <w:pStyle w:val="Heading3"/>
      </w:pPr>
      <w:bookmarkStart w:id="4" w:name="_Toc4"/>
      <w:r>
        <w:t>Hrubé měsíční mzdy podle krajů v roce 2020</w:t>
      </w:r>
      <w:bookmarkEnd w:id="4"/>
    </w:p>
    <w:p>
      <w:pPr>
        <w:pStyle w:val="Heading4"/>
      </w:pPr>
      <w:bookmarkStart w:id="5" w:name="_Toc5"/>
      <w:r>
        <w:t>Pokladníci ve finančních institucích, na poštách a pracovníci v příbuzných oborech (CZ-ISCO 4211)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27 480 Kč</w:t>
            </w:r>
          </w:p>
        </w:tc>
        <w:tc>
          <w:tcPr>
            <w:tcW w:w="1000" w:type="dxa"/>
          </w:tcPr>
          <w:p>
            <w:pPr>
              <w:jc w:val="center"/>
            </w:pPr>
            <w:r>
              <w:rPr/>
              <w:t xml:space="preserve">30 984 Kč</w:t>
            </w:r>
          </w:p>
        </w:tc>
        <w:tc>
          <w:tcPr>
            <w:tcW w:w="1000" w:type="dxa"/>
          </w:tcPr>
          <w:p>
            <w:pPr>
              <w:jc w:val="center"/>
            </w:pPr>
            <w:r>
              <w:rPr/>
              <w:t xml:space="preserve">36 671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24 271 Kč</w:t>
            </w:r>
          </w:p>
        </w:tc>
        <w:tc>
          <w:tcPr>
            <w:tcW w:w="1000" w:type="dxa"/>
          </w:tcPr>
          <w:p>
            <w:pPr>
              <w:jc w:val="center"/>
            </w:pPr>
            <w:r>
              <w:rPr/>
              <w:t xml:space="preserve">27 761 Kč</w:t>
            </w:r>
          </w:p>
        </w:tc>
        <w:tc>
          <w:tcPr>
            <w:tcW w:w="1000" w:type="dxa"/>
          </w:tcPr>
          <w:p>
            <w:pPr>
              <w:jc w:val="center"/>
            </w:pPr>
            <w:r>
              <w:rPr/>
              <w:t xml:space="preserve">31 859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23 224 Kč</w:t>
            </w:r>
          </w:p>
        </w:tc>
        <w:tc>
          <w:tcPr>
            <w:tcW w:w="1000" w:type="dxa"/>
          </w:tcPr>
          <w:p>
            <w:pPr>
              <w:jc w:val="center"/>
            </w:pPr>
            <w:r>
              <w:rPr/>
              <w:t xml:space="preserve">27 467 Kč</w:t>
            </w:r>
          </w:p>
        </w:tc>
        <w:tc>
          <w:tcPr>
            <w:tcW w:w="1000" w:type="dxa"/>
          </w:tcPr>
          <w:p>
            <w:pPr>
              <w:jc w:val="center"/>
            </w:pPr>
            <w:r>
              <w:rPr/>
              <w:t xml:space="preserve">31 107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25 156 Kč</w:t>
            </w:r>
          </w:p>
        </w:tc>
        <w:tc>
          <w:tcPr>
            <w:tcW w:w="1000" w:type="dxa"/>
          </w:tcPr>
          <w:p>
            <w:pPr>
              <w:jc w:val="center"/>
            </w:pPr>
            <w:r>
              <w:rPr/>
              <w:t xml:space="preserve">27 453 Kč</w:t>
            </w:r>
          </w:p>
        </w:tc>
        <w:tc>
          <w:tcPr>
            <w:tcW w:w="1000" w:type="dxa"/>
          </w:tcPr>
          <w:p>
            <w:pPr>
              <w:jc w:val="center"/>
            </w:pPr>
            <w:r>
              <w:rPr/>
              <w:t xml:space="preserve">31 248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25 717 Kč</w:t>
            </w:r>
          </w:p>
        </w:tc>
        <w:tc>
          <w:tcPr>
            <w:tcW w:w="1000" w:type="dxa"/>
          </w:tcPr>
          <w:p>
            <w:pPr>
              <w:jc w:val="center"/>
            </w:pPr>
            <w:r>
              <w:rPr/>
              <w:t xml:space="preserve">27 549 Kč</w:t>
            </w:r>
          </w:p>
        </w:tc>
        <w:tc>
          <w:tcPr>
            <w:tcW w:w="1000" w:type="dxa"/>
          </w:tcPr>
          <w:p>
            <w:pPr>
              <w:jc w:val="center"/>
            </w:pPr>
            <w:r>
              <w:rPr/>
              <w:t xml:space="preserve">31 847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24 700 Kč</w:t>
            </w:r>
          </w:p>
        </w:tc>
        <w:tc>
          <w:tcPr>
            <w:tcW w:w="1000" w:type="dxa"/>
          </w:tcPr>
          <w:p>
            <w:pPr>
              <w:jc w:val="center"/>
            </w:pPr>
            <w:r>
              <w:rPr/>
              <w:t xml:space="preserve">27 397 Kč</w:t>
            </w:r>
          </w:p>
        </w:tc>
        <w:tc>
          <w:tcPr>
            <w:tcW w:w="1000" w:type="dxa"/>
          </w:tcPr>
          <w:p>
            <w:pPr>
              <w:jc w:val="center"/>
            </w:pPr>
            <w:r>
              <w:rPr/>
              <w:t xml:space="preserve">31 322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24 440 Kč</w:t>
            </w:r>
          </w:p>
        </w:tc>
        <w:tc>
          <w:tcPr>
            <w:tcW w:w="1000" w:type="dxa"/>
          </w:tcPr>
          <w:p>
            <w:pPr>
              <w:jc w:val="center"/>
            </w:pPr>
            <w:r>
              <w:rPr/>
              <w:t xml:space="preserve">27 405 Kč</w:t>
            </w:r>
          </w:p>
        </w:tc>
        <w:tc>
          <w:tcPr>
            <w:tcW w:w="1000" w:type="dxa"/>
          </w:tcPr>
          <w:p>
            <w:pPr>
              <w:jc w:val="center"/>
            </w:pPr>
            <w:r>
              <w:rPr/>
              <w:t xml:space="preserve">30 977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25 580 Kč</w:t>
            </w:r>
          </w:p>
        </w:tc>
        <w:tc>
          <w:tcPr>
            <w:tcW w:w="1000" w:type="dxa"/>
          </w:tcPr>
          <w:p>
            <w:pPr>
              <w:jc w:val="center"/>
            </w:pPr>
            <w:r>
              <w:rPr/>
              <w:t xml:space="preserve">27 686 Kč</w:t>
            </w:r>
          </w:p>
        </w:tc>
        <w:tc>
          <w:tcPr>
            <w:tcW w:w="1000" w:type="dxa"/>
          </w:tcPr>
          <w:p>
            <w:pPr>
              <w:jc w:val="center"/>
            </w:pPr>
            <w:r>
              <w:rPr/>
              <w:t xml:space="preserve">32 329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25 559 Kč</w:t>
            </w:r>
          </w:p>
        </w:tc>
        <w:tc>
          <w:tcPr>
            <w:tcW w:w="1000" w:type="dxa"/>
          </w:tcPr>
          <w:p>
            <w:pPr>
              <w:jc w:val="center"/>
            </w:pPr>
            <w:r>
              <w:rPr/>
              <w:t xml:space="preserve">27 800 Kč</w:t>
            </w:r>
          </w:p>
        </w:tc>
        <w:tc>
          <w:tcPr>
            <w:tcW w:w="1000" w:type="dxa"/>
          </w:tcPr>
          <w:p>
            <w:pPr>
              <w:jc w:val="center"/>
            </w:pPr>
            <w:r>
              <w:rPr/>
              <w:t xml:space="preserve">31 393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24 805 Kč</w:t>
            </w:r>
          </w:p>
        </w:tc>
        <w:tc>
          <w:tcPr>
            <w:tcW w:w="1000" w:type="dxa"/>
          </w:tcPr>
          <w:p>
            <w:pPr>
              <w:jc w:val="center"/>
            </w:pPr>
            <w:r>
              <w:rPr/>
              <w:t xml:space="preserve">27 499 Kč</w:t>
            </w:r>
          </w:p>
        </w:tc>
        <w:tc>
          <w:tcPr>
            <w:tcW w:w="1000" w:type="dxa"/>
          </w:tcPr>
          <w:p>
            <w:pPr>
              <w:jc w:val="center"/>
            </w:pPr>
            <w:r>
              <w:rPr/>
              <w:t xml:space="preserve">30 988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24 510 Kč</w:t>
            </w:r>
          </w:p>
        </w:tc>
        <w:tc>
          <w:tcPr>
            <w:tcW w:w="1000" w:type="dxa"/>
          </w:tcPr>
          <w:p>
            <w:pPr>
              <w:jc w:val="center"/>
            </w:pPr>
            <w:r>
              <w:rPr/>
              <w:t xml:space="preserve">27 060 Kč</w:t>
            </w:r>
          </w:p>
        </w:tc>
        <w:tc>
          <w:tcPr>
            <w:tcW w:w="1000" w:type="dxa"/>
          </w:tcPr>
          <w:p>
            <w:pPr>
              <w:jc w:val="center"/>
            </w:pPr>
            <w:r>
              <w:rPr/>
              <w:t xml:space="preserve">32 137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25 407 Kč</w:t>
            </w:r>
          </w:p>
        </w:tc>
        <w:tc>
          <w:tcPr>
            <w:tcW w:w="1000" w:type="dxa"/>
          </w:tcPr>
          <w:p>
            <w:pPr>
              <w:jc w:val="center"/>
            </w:pPr>
            <w:r>
              <w:rPr/>
              <w:t xml:space="preserve">27 887 Kč</w:t>
            </w:r>
          </w:p>
        </w:tc>
        <w:tc>
          <w:tcPr>
            <w:tcW w:w="1000" w:type="dxa"/>
          </w:tcPr>
          <w:p>
            <w:pPr>
              <w:jc w:val="center"/>
            </w:pPr>
            <w:r>
              <w:rPr/>
              <w:t xml:space="preserve">31 439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25 122 Kč</w:t>
            </w:r>
          </w:p>
        </w:tc>
        <w:tc>
          <w:tcPr>
            <w:tcW w:w="1000" w:type="dxa"/>
          </w:tcPr>
          <w:p>
            <w:pPr>
              <w:jc w:val="center"/>
            </w:pPr>
            <w:r>
              <w:rPr/>
              <w:t xml:space="preserve">27 267 Kč</w:t>
            </w:r>
          </w:p>
        </w:tc>
        <w:tc>
          <w:tcPr>
            <w:tcW w:w="1000" w:type="dxa"/>
          </w:tcPr>
          <w:p>
            <w:pPr>
              <w:jc w:val="center"/>
            </w:pPr>
            <w:r>
              <w:rPr/>
              <w:t xml:space="preserve">31 321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25 486 Kč</w:t>
            </w:r>
          </w:p>
        </w:tc>
        <w:tc>
          <w:tcPr>
            <w:tcW w:w="1000" w:type="dxa"/>
          </w:tcPr>
          <w:p>
            <w:pPr>
              <w:jc w:val="center"/>
            </w:pPr>
            <w:r>
              <w:rPr/>
              <w:t xml:space="preserve">27 607 Kč</w:t>
            </w:r>
          </w:p>
        </w:tc>
        <w:tc>
          <w:tcPr>
            <w:tcW w:w="1000" w:type="dxa"/>
          </w:tcPr>
          <w:p>
            <w:pPr>
              <w:jc w:val="center"/>
            </w:pPr>
            <w:r>
              <w:rPr/>
              <w:t xml:space="preserve">31 338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4211</w:t>
            </w:r>
          </w:p>
        </w:tc>
        <w:tc>
          <w:tcPr>
            <w:tcW w:w="2000" w:type="dxa"/>
          </w:tcPr>
          <w:p>
            <w:pPr/>
            <w:r>
              <w:rPr/>
              <w:t xml:space="preserve">Pokladníci ve finančních institucích, na poštách a pracovníci v příbuzných oborech</w:t>
            </w:r>
          </w:p>
        </w:tc>
        <w:tc>
          <w:tcPr>
            <w:tcW w:w="1000" w:type="dxa"/>
          </w:tcPr>
          <w:p>
            <w:pPr>
              <w:jc w:val="center"/>
            </w:pPr>
            <w:r>
              <w:rPr/>
              <w:t xml:space="preserve">30 238 Kč</w:t>
            </w:r>
          </w:p>
        </w:tc>
        <w:tc>
          <w:tcPr>
            <w:tcW w:w="1000" w:type="dxa"/>
          </w:tcPr>
          <w:p>
            <w:pPr>
              <w:jc w:val="center"/>
            </w:pPr>
            <w:r>
              <w:rPr/>
              <w:t xml:space="preserve">28 031 Kč</w:t>
            </w:r>
          </w:p>
        </w:tc>
      </w:tr>
      <w:tr>
        <w:trPr/>
        <w:tc>
          <w:tcPr>
            <w:tcW w:w="1000" w:type="dxa"/>
          </w:tcPr>
          <w:p>
            <w:pPr>
              <w:jc w:val="center"/>
            </w:pPr>
            <w:r>
              <w:rPr/>
              <w:t xml:space="preserve">42113</w:t>
            </w:r>
          </w:p>
        </w:tc>
        <w:tc>
          <w:tcPr>
            <w:tcW w:w="2000" w:type="dxa"/>
          </w:tcPr>
          <w:p>
            <w:pPr/>
            <w:r>
              <w:rPr/>
              <w:t xml:space="preserve">Přepážkoví pracovníci na poštách</w:t>
            </w:r>
          </w:p>
        </w:tc>
        <w:tc>
          <w:tcPr>
            <w:tcW w:w="1000" w:type="dxa"/>
          </w:tcPr>
          <w:p>
            <w:pPr>
              <w:jc w:val="center"/>
            </w:pPr>
            <w:r>
              <w:rPr/>
              <w:t xml:space="preserve">28 434 Kč</w:t>
            </w:r>
          </w:p>
        </w:tc>
        <w:tc>
          <w:tcPr>
            <w:tcW w:w="1000" w:type="dxa"/>
          </w:tcPr>
          <w:p>
            <w:pPr>
              <w:jc w:val="center"/>
            </w:pPr>
            <w:r>
              <w:rPr/>
              <w:t xml:space="preserve">-</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KKOV</w:t>
            </w:r>
          </w:p>
        </w:tc>
        <w:tc>
          <w:tcPr>
            <w:tcW w:w="5000" w:type="dxa"/>
          </w:tcPr>
          <w:p>
            <w:pPr/>
            <w:r>
              <w:rPr/>
              <w:t xml:space="preserve">Střední vzdělání s maturitní zkouškou v oboru provoz, organizace a ekonomika pošt</w:t>
            </w:r>
          </w:p>
        </w:tc>
        <w:tc>
          <w:tcPr>
            <w:tcW w:w="2000" w:type="dxa"/>
          </w:tcPr>
          <w:p>
            <w:pPr>
              <w:jc w:val="center"/>
            </w:pPr>
            <w:r>
              <w:rPr/>
              <w:t xml:space="preserve">3742L</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výučním listem v oboru manipulant poštovního provozu a přepravy</w:t>
            </w:r>
          </w:p>
        </w:tc>
        <w:tc>
          <w:tcPr>
            <w:tcW w:w="2000" w:type="dxa"/>
          </w:tcPr>
          <w:p>
            <w:pPr>
              <w:jc w:val="center"/>
            </w:pPr>
            <w:r>
              <w:rPr/>
              <w:t xml:space="preserve">3751H</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Pracovník/pracovnice poštovní přepážky univerzální (37-018-M)</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h26.A.6001</w:t>
            </w:r>
          </w:p>
        </w:tc>
        <w:tc>
          <w:tcPr>
            <w:tcW w:w="3000" w:type="dxa"/>
          </w:tcPr>
          <w:p>
            <w:pPr/>
            <w:r>
              <w:rPr/>
              <w:t xml:space="preserve">Přijímání a vydávání listovních a balíkových zásilek klientům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h26.D.6032</w:t>
            </w:r>
          </w:p>
        </w:tc>
        <w:tc>
          <w:tcPr>
            <w:tcW w:w="3000" w:type="dxa"/>
          </w:tcPr>
          <w:p>
            <w:pPr/>
            <w:r>
              <w:rPr/>
              <w:t xml:space="preserve">Uzavření pracoviště (vyúčtování poštovních zásilek, finančních hotovostí)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h26.C.4010</w:t>
            </w:r>
          </w:p>
        </w:tc>
        <w:tc>
          <w:tcPr>
            <w:tcW w:w="3000" w:type="dxa"/>
          </w:tcPr>
          <w:p>
            <w:pPr/>
            <w:r>
              <w:rPr/>
              <w:t xml:space="preserve">Provádění sázkové činnosti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h26.C.4015</w:t>
            </w:r>
          </w:p>
        </w:tc>
        <w:tc>
          <w:tcPr>
            <w:tcW w:w="3000" w:type="dxa"/>
          </w:tcPr>
          <w:p>
            <w:pPr/>
            <w:r>
              <w:rPr/>
              <w:t xml:space="preserve">Provádění bankovní činnosti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h26.C.4016</w:t>
            </w:r>
          </w:p>
        </w:tc>
        <w:tc>
          <w:tcPr>
            <w:tcW w:w="3000" w:type="dxa"/>
          </w:tcPr>
          <w:p>
            <w:pPr/>
            <w:r>
              <w:rPr/>
              <w:t xml:space="preserve">Provádění pojišťovací činnosti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h26.C.3003</w:t>
            </w:r>
          </w:p>
        </w:tc>
        <w:tc>
          <w:tcPr>
            <w:tcW w:w="3000" w:type="dxa"/>
          </w:tcPr>
          <w:p>
            <w:pPr/>
            <w:r>
              <w:rPr/>
              <w:t xml:space="preserve">Prodej doplňkového zboží a cenin</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h26.C.3004</w:t>
            </w:r>
          </w:p>
        </w:tc>
        <w:tc>
          <w:tcPr>
            <w:tcW w:w="3000" w:type="dxa"/>
          </w:tcPr>
          <w:p>
            <w:pPr/>
            <w:r>
              <w:rPr/>
              <w:t xml:space="preserve">Nabídka a prodej poštovních produktů a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i11.C.4000</w:t>
            </w:r>
          </w:p>
        </w:tc>
        <w:tc>
          <w:tcPr>
            <w:tcW w:w="3000" w:type="dxa"/>
          </w:tcPr>
          <w:p>
            <w:pPr/>
            <w:r>
              <w:rPr/>
              <w:t xml:space="preserve">Manipulace s penězi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h26.D.1013</w:t>
            </w:r>
          </w:p>
        </w:tc>
        <w:tc>
          <w:tcPr>
            <w:tcW w:w="3000" w:type="dxa"/>
          </w:tcPr>
          <w:p>
            <w:pPr/>
            <w:r>
              <w:rPr/>
              <w:t xml:space="preserve">Orientace v provozních předpisech a poštovních podmínkách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h26.C.4017</w:t>
            </w:r>
          </w:p>
        </w:tc>
        <w:tc>
          <w:tcPr>
            <w:tcW w:w="3000" w:type="dxa"/>
          </w:tcPr>
          <w:p>
            <w:pPr/>
            <w:r>
              <w:rPr/>
              <w:t xml:space="preserve">Přijímání a vyplácení poštovních poukázek, platebních dokladů a důchodů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h26.C.4018</w:t>
            </w:r>
          </w:p>
        </w:tc>
        <w:tc>
          <w:tcPr>
            <w:tcW w:w="3000" w:type="dxa"/>
          </w:tcPr>
          <w:p>
            <w:pPr/>
            <w:r>
              <w:rPr/>
              <w:t xml:space="preserve">Nabídka a poskytování služby Western Union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i12.C.2051</w:t>
            </w:r>
          </w:p>
        </w:tc>
        <w:tc>
          <w:tcPr>
            <w:tcW w:w="3000" w:type="dxa"/>
          </w:tcPr>
          <w:p>
            <w:pPr/>
            <w:r>
              <w:rPr/>
              <w:t xml:space="preserve">Nabídka a zprostředkování zdravotního pojištění cizinců</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h13._.0014</w:t>
            </w:r>
          </w:p>
        </w:tc>
        <w:tc>
          <w:tcPr>
            <w:tcW w:w="3000" w:type="dxa"/>
          </w:tcPr>
          <w:p>
            <w:pPr/>
            <w:r>
              <w:rPr/>
              <w:t xml:space="preserve">postupy při evidování a účtování pokladních operací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i12._.0051</w:t>
            </w:r>
          </w:p>
        </w:tc>
        <w:tc>
          <w:tcPr>
            <w:tcW w:w="3000" w:type="dxa"/>
          </w:tcPr>
          <w:p>
            <w:pPr/>
            <w:r>
              <w:rPr/>
              <w:t xml:space="preserve">pojišťovnictví obecně, druhy pojištění a jejich rozsahy pojistného krytí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B17E1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Pracovník poštovní přepážky univerzální</dc:title>
  <dc:description>Pracovník poštovní přepážky univerzální poskytuje zákazníkům na poště široké portfolio poštovních služeb.</dc:description>
  <dc:subject/>
  <cp:keywords/>
  <cp:category>Specializace</cp:category>
  <cp:lastModifiedBy/>
  <dcterms:created xsi:type="dcterms:W3CDTF">2017-11-22T09:12:16+01:00</dcterms:created>
  <dcterms:modified xsi:type="dcterms:W3CDTF">2017-11-22T09:42:57+01:00</dcterms:modified>
</cp:coreProperties>
</file>

<file path=docProps/custom.xml><?xml version="1.0" encoding="utf-8"?>
<Properties xmlns="http://schemas.openxmlformats.org/officeDocument/2006/custom-properties" xmlns:vt="http://schemas.openxmlformats.org/officeDocument/2006/docPropsVTypes"/>
</file>