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</w:t>
      </w:r>
      <w:bookmarkEnd w:id="1"/>
    </w:p>
    <w:p>
      <w:pPr/>
      <w:r>
        <w:rPr/>
        <w:t xml:space="preserve">Archeolog provádí archeologický výzkum, průzkum a dohled včetně přípravných heuristických prací. Vědecky zpracovává, analyzuje a interpretuje zachované archeologické prameny.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Prehistorik,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Industriální archeolog, Archeolog pravěku, Archeolog starověku, Archeolog středověku, Archeolog novověku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archeologických výzkumů a průzkumů.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Samostatné 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/>
    <w:p>
      <w:pPr>
        <w:pStyle w:val="Heading2"/>
      </w:pPr>
      <w:bookmarkStart w:id="3" w:name="_Toc3"/>
      <w:r>
        <w:t>Kompetenční požadavky</w:t>
      </w:r>
      <w:bookmarkEnd w:id="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BBD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</dc:title>
  <dc:description>Archeolog provádí archeologický výzkum, průzkum a dohled včetně přípravných heuristických prací. Vědecky zpracovává, analyzuje a interpretuje zachované archeologické prameny.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