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Lékař s odbornou způsobilostí po absolvování základního kmene</w:t>
      </w:r>
      <w:bookmarkEnd w:id="1"/>
    </w:p>
    <w:p>
      <w:pPr/>
      <w:r>
        <w:rPr/>
        <w:t xml:space="preserve">Lékař s odbornou způsobilostí po absolvování základního kmene poskytuje v rozsahu zákona č. 372/2011 Sb., o zdravotních službách, pod odborným dohledem lékaře se specializovanou způsobilostí preventivní, diagnostickou, léčebnou, léčebně rehabilitační, dispenzární a paliativní péči. Bez odborného dohledu může dále vykonávat činnosti, které odpovídají rozsahu znalostí a dovedností získaných vzděláváním v základním kmeni, dále revizní činnosti pod odborným dozorem lékaře se specializovanou způsobilostí a další činnosti, které mu písemně stanoví školitel.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Doktorský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Lékař pracující pod odborným dohledem, Doctor, Physician, Arzt, Doktor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95/2004 Sb., o podmínkách získávání a uznávání odborné způsobilosti a specializované způsobilosti k výkonu zdravotnického povolání lékaře, zubního lékaře a farmaceuta.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Lékaři bez atestace (v oborech praktického lékařství)</w:t>
      </w:r>
    </w:p>
    <w:p>
      <w:pPr>
        <w:numPr>
          <w:ilvl w:val="0"/>
          <w:numId w:val="5"/>
        </w:numPr>
      </w:pPr>
      <w:r>
        <w:rPr/>
        <w:t xml:space="preserve">Lékaři bez atestace (kromě oborů praktického lékařství)</w:t>
      </w:r>
    </w:p>
    <w:p>
      <w:pPr>
        <w:numPr>
          <w:ilvl w:val="0"/>
          <w:numId w:val="5"/>
        </w:numPr>
      </w:pPr>
      <w:r>
        <w:rPr/>
        <w:t xml:space="preserve">Praktičtí lékaři</w:t>
      </w:r>
    </w:p>
    <w:p>
      <w:pPr>
        <w:numPr>
          <w:ilvl w:val="0"/>
          <w:numId w:val="5"/>
        </w:numPr>
      </w:pPr>
      <w:r>
        <w:rPr/>
        <w:t xml:space="preserve">Lékaři specialisté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Praktičtí lékaři (CZ-ISCO 2211)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121 175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96 926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138 366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96 181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169 220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86 442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142 067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25 817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32 915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161 051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138 565 Kč</w:t>
            </w:r>
          </w:p>
        </w:tc>
      </w:tr>
    </w:tbl>
    <w:p/>
    <w:p>
      <w:pPr>
        <w:pStyle w:val="Heading4"/>
      </w:pPr>
      <w:bookmarkStart w:id="5" w:name="_Toc5"/>
      <w:r>
        <w:t>Lékaři specialisté (CZ-ISCO 2212)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147 604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124 768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196 523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159 292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78 240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214 692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110 249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187 766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179 735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104 348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218 314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140 468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196 042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171 081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216 480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81 192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156 807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242 173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182 819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171 245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92 809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150 714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203 534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186 672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90 479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159 250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203 172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215 645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30 642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118 462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188 277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77 947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139 008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195 977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195 241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73 667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178 642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125 400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203 523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2211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Praktičtí lékaři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44 994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2212</w:t>
            </w:r>
          </w:p>
        </w:tc>
        <w:tc>
          <w:tcPr>
            <w:tcW w:w="2000" w:type="dxa"/>
          </w:tcPr>
          <w:p>
            <w:pPr/>
            <w:r>
              <w:rPr/>
              <w:t xml:space="preserve">Lékaři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128 039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96 701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22113</w:t>
            </w:r>
          </w:p>
        </w:tc>
        <w:tc>
          <w:tcPr>
            <w:tcW w:w="2000" w:type="dxa"/>
          </w:tcPr>
          <w:p>
            <w:pPr/>
            <w:r>
              <w:rPr/>
              <w:t xml:space="preserve">Lékaři bez atestace (v oborech praktického lékařství)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22128</w:t>
            </w:r>
          </w:p>
        </w:tc>
        <w:tc>
          <w:tcPr>
            <w:tcW w:w="2000" w:type="dxa"/>
          </w:tcPr>
          <w:p>
            <w:pPr/>
            <w:r>
              <w:rPr/>
              <w:t xml:space="preserve">Lékaři bez atestace (kromě oborů praktického lékařství)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92 559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87 669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2211</w:t>
            </w:r>
          </w:p>
        </w:tc>
        <w:tc>
          <w:tcPr>
            <w:tcW w:w="3000" w:type="dxa"/>
          </w:tcPr>
          <w:p>
            <w:pPr/>
            <w:r>
              <w:rPr/>
              <w:t xml:space="preserve">Všeobecní a praktičtí lékaři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http://data.europa.eu/esco/isco/C2211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všeobecné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5103T</w:t>
            </w:r>
          </w:p>
        </w:tc>
      </w:tr>
      <w:tr>
        <w:trPr/>
        <w:tc>
          <w:tcPr>
            <w:tcW w:w="2000" w:type="dxa"/>
          </w:tcPr>
          <w:p/>
        </w:tc>
        <w:tc>
          <w:tcPr>
            <w:tcW w:w="5000" w:type="dxa"/>
          </w:tcPr>
          <w:p>
            <w:pPr/>
            <w:r>
              <w:rPr/>
              <w:t xml:space="preserve">Specializační vzdělávání lékařů v základním kmeni dle Přílohy 1 zákona č. 95/2004 Sb., o podmínkách získávání a uznávání odborné způsobilosti a specializované způsobilosti k výkonu zdravotnického povolání lékaře, zubního lékaře a farmaceuta, v platném znění vydaném Věstníkem Ministerstva zdravotnictví ČR, zakončené zkouškou a certifikátem o absolvování základního kmene.</w:t>
            </w:r>
          </w:p>
        </w:tc>
        <w:tc>
          <w:tcPr>
            <w:tcW w:w="2000" w:type="dxa"/>
          </w:tcPr>
          <w:p/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Odborná způsobilost podle § 4 zákona č. 95/2004 Sb., o podmínkách získávání a uznávání odborné způsobilosti a specializované způsobilosti k výkonu zdravotnického povolání lékaře, zubního lékaře a farmaceuta.</w:t>
      </w:r>
    </w:p>
    <w:p>
      <w:pPr>
        <w:numPr>
          <w:ilvl w:val="0"/>
          <w:numId w:val="5"/>
        </w:numPr>
      </w:pPr>
      <w:r>
        <w:rPr/>
        <w:t xml:space="preserve">povinné - Členství v České lékařské komoře opravňující k výkonu lékařského povolání na území ČR dle zákona č. 220/1991 Sb., o České lékařské komoře, České stomatologické komoře a České lékárnické komoře.</w:t>
      </w:r>
    </w:p>
    <w:p/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povinné - Povinnost celoživotního vzdělávání lékařů dle zákona č. 95/2004 Sb., o podmínkách získávání a uznávání odborné způsobilosti a specializované způsobilosti k výkonu zdravotnického povolání lékaře, zubního lékaře a farmaceuta.</w:t>
      </w:r>
    </w:p>
    <w:p>
      <w:pPr>
        <w:numPr>
          <w:ilvl w:val="0"/>
          <w:numId w:val="5"/>
        </w:numPr>
      </w:pPr>
      <w:r>
        <w:rPr/>
        <w:t xml:space="preserve">doporučené - Uznávání způsobilosti k výkonu povolání lékaře, zubního lékaře a farmaceuta získané v jiném členském státě EU než v České republice nebo jiném smluvním státě Dohody o Evropském hospodářském prostoru nebo Švýcarské konfederaci se řídí částí sedm zákona č. 95/2004 Sb., o podmínkách získávání a uznávání odborné způsobilosti a specializované způsobilosti k výkonu zdravotnického povolání lékaře, zubního lékaře a farmaceuta – tj. tzv. automatickým uznáváním odborné kvalifikace (viz. Sdělení Ministerstva zdravotnictví ČR č. 275/2007), dále na základě nabytých práv, popř. v rámci řízení o uznání způsobilosti k výkonu povolání lékaře (viz. zákon č. 18/2004 Sb., zákon o uznávání odborné kvalifikace).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povolání lékaře, zubního lékaře a farmaceuta získané v jiném než členském státě EU nebo mimo státy smluvním státy Dohody o Evropském hospodářském prostoru nebo Švýcarské konfederaci se řídí částí osm zákona č. 95/2004 Sb., o podmínkách získávání a uznávání odborné způsobilosti a specializované způsobilosti k výkonu zdravotnického povolání lékaře, zubního lékaře a farmaceuta – tj. úspěšným složením aprobační zkoušky (viz. vyhláška 188/2009 Sb., o zkouškách lékařů, zubních lékařů a farmaceutů)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preventivní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diagnostické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léčebné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dispenzární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paliativní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léčebně rehabilitační péče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odborných dovedností v příslušném základním kmeni lékařů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k11.Z.0001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kvality poskytované zdravotní péče a zajištění bezpečí pacientů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výkazů a evidencí v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revizní činnosti podle zákona o veřejném zdravotním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všeobecné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k17._.0007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farmakologie ve všeobecném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medicínské právo, hygienické a jiné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zdravotnické prostředky a jejich používání v péči o člověka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radiační ochrana ve všeobecném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znalosti v příslušném základním kmeni lékařů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vykazování a úhrady zdravotních úkonů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vědecké metody v lékařství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k14._.0008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profesní etika a psychologie jednání s pacientem a jeho okolím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preventivní metody v oblasti ochrany a podpory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E4E61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Lékař s odbornou způsobilostí po absolvování základního kmene</dc:title>
  <dc:description>Lékař s odbornou způsobilostí po absolvování základního kmene poskytuje v rozsahu zákona č. 372/2011 Sb., o zdravotních službách, pod odborným dohledem lékaře se specializovanou způsobilostí preventivní, diagnostickou, léčebnou, léčebně rehabilitační, dispenzární a paliativní péči. Bez odborného dohledu může dále vykonávat činnosti, které odpovídají rozsahu znalostí a dovedností získaných vzděláváním v základním kmeni, dále revizní činnosti pod odborným dozorem lékaře se specializovanou způsobilostí a další činnosti, které mu písemně stanoví školitel.</dc:description>
  <dc:subject/>
  <cp:keywords/>
  <cp:category>Povolání</cp:category>
  <cp:lastModifiedBy/>
  <dcterms:created xsi:type="dcterms:W3CDTF">2017-11-22T09:11:13+01:00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