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referent</w:t>
      </w:r>
      <w:bookmarkEnd w:id="1"/>
    </w:p>
    <w:p>
      <w:pPr/>
      <w:r>
        <w:rPr/>
        <w:t xml:space="preserve">Samostatný bezpečnostní referent provádí analýzu bezpečnostních rizik a stanovuje způsoby zajišťování komplexní bezpečnosti organizačního celku včetně metodického usměrňování realizace bezpečnostních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bezpečnostních expertíz a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organizační zajišťování komplexní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v oblasti bezpečnosti a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dokumentů předkládaných NBÚ a ostatním bezpečnostním složkám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komunikace s orgány Policie ČR, Hasičského záchranného sboru ČR, Civilní ochrany aj. prvky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pro zabezpečení utajování informací tvořících předmět státního nebo obchodního tajemství a jiných informací důvěrné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režimu ochrany za mimořádných situací, branné pohotovosti státu, válečného stavu aj. krizových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4A0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referent</dc:title>
  <dc:description>Samostatný bezpečnostní referent provádí analýzu bezpečnostních rizik a stanovuje způsoby zajišťování komplexní bezpečnosti organizačního celku včetně metodického usměrňování realizace bezpečnostních opatření.</dc:description>
  <dc:subject/>
  <cp:keywords/>
  <cp:category>Specializace</cp:category>
  <cp:lastModifiedBy/>
  <dcterms:created xsi:type="dcterms:W3CDTF">2017-11-22T09:11:12+01:00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