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trenéra</w:t>
      </w:r>
      <w:bookmarkEnd w:id="1"/>
    </w:p>
    <w:p>
      <w:pPr/>
      <w:r>
        <w:rPr/>
        <w:t xml:space="preserve">Asistent trenéra spolupracuje při zajišťování trenérské a metodické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Vyhledávání talentovaných sportovců.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 trenérsko-metodické činnosti a usměrňování sportovní přípravy sportovců.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cvičitelství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6A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trenéra</dc:title>
  <dc:description>Asistent trenéra spolupracuje při zajišťování trenérské a metodické činnosti.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