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mistr</w:t>
      </w:r>
      <w:bookmarkEnd w:id="1"/>
    </w:p>
    <w:p>
      <w:pPr/>
      <w:r>
        <w:rPr/>
        <w:t xml:space="preserve">Textilní mistr zajišťuje provozuschopnost svěřeného úseku strojů a zařízení a zodpovídá za optimalizaci práce vymezeného okruhu zaměstnanců v rámci delegované pravomoci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Organizace a zajišťování bezchybného a bezpečného průběhu směny.</w:t>
      </w:r>
    </w:p>
    <w:p>
      <w:pPr>
        <w:numPr>
          <w:ilvl w:val="0"/>
          <w:numId w:val="5"/>
        </w:numPr>
      </w:pPr>
      <w:r>
        <w:rPr/>
        <w:t xml:space="preserve">Evidence produkce.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mistr/mistrová (31-032-H)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B87E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mistr</dc:title>
  <dc:description>Textilní mistr zajišťuje provozuschopnost svěřeného úseku strojů a zařízení a zodpovídá za optimalizaci práce vymezeného okruhu zaměstnanců v rámci delegované pravomoci při zajišťování úkolů stanovených operativním plánem výroby v textilní výrobě.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