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papírenského stroje</w:t>
      </w:r>
      <w:bookmarkEnd w:id="1"/>
    </w:p>
    <w:p>
      <w:pPr/>
      <w:r>
        <w:rPr/>
        <w:t xml:space="preserve">Strojník papírenského stroje obsluhuje konkrétní úseky papírenského stroje z velínu i místně.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technologického procesu sušení a navíjení papíru či kartonu, včetně případné povrchové úpravy.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odstavovaného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Obsluha jeřábu.</w:t>
      </w:r>
    </w:p>
    <w:p>
      <w:pPr>
        <w:numPr>
          <w:ilvl w:val="0"/>
          <w:numId w:val="5"/>
        </w:numPr>
      </w:pPr>
      <w:r>
        <w:rPr/>
        <w:t xml:space="preserve">Odběr vzorků pro kontrolu jakosti v  laboratoři.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papírenského stroje (28-051-M)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sušicích a hladicích zařízení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Regulace sušících plstěnců navíjecího zařízení, včetně zavádění papíru u papírenského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povrchovou úpravu různých druhů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papírenských strojů ve výrobě vybraných druhů papíru, vícevrstvých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stroje a sušicího stroje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na sušení a odvodňování buničin v papírenské výrobě, provádění jednoduchých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F78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papírenského stroje</dc:title>
  <dc:description>Strojník papírenského stroje obsluhuje konkrétní úseky papírenského stroje z velínu i místně.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