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jezný, říční dozor</w:t>
      </w:r>
      <w:bookmarkEnd w:id="1"/>
    </w:p>
    <w:p>
      <w:pPr/>
      <w:r>
        <w:rPr/>
        <w:t xml:space="preserve"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Příprava a zpracovávání podkladů pro opravy, údržbu a rekonstrukce.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mimořádných událostech.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 nimi spojeným životním prostředím.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správními úřady a uživateli vody z vodních nádrží a jezových zdrží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A07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jezný, říční dozor</dc:title>
  <dc:description>Vodohospodářský technik hrázný jezný, říční dozor zajišťuje, řídí a dohlíží na provoz, údržbu a opravy vodních děl, vodohospodářských zařízení a vodních toků a zajišťuje péči o kvalitu vod a komplexní péči o životní prostředí v povodí.</dc:description>
  <dc:subject/>
  <cp:keywords/>
  <cp:category>Povolání</cp:category>
  <cp:lastModifiedBy/>
  <dcterms:created xsi:type="dcterms:W3CDTF">2017-11-22T09:37:21+01:00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