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2024</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35 371 Kč</w:t>
            </w:r>
          </w:p>
        </w:tc>
        <w:tc>
          <w:tcPr>
            <w:tcW w:w="1000" w:type="dxa"/>
          </w:tcPr>
          <w:p>
            <w:pPr>
              <w:jc w:val="center"/>
            </w:pPr>
            <w:r>
              <w:rPr/>
              <w:t xml:space="preserve">60 710 Kč</w:t>
            </w:r>
          </w:p>
        </w:tc>
        <w:tc>
          <w:tcPr>
            <w:tcW w:w="1000" w:type="dxa"/>
          </w:tcPr>
          <w:p>
            <w:pPr>
              <w:jc w:val="center"/>
            </w:pPr>
            <w:r>
              <w:rPr>
                <w:sz w:val="16"/>
                <w:szCs w:val="16"/>
              </w:rPr>
              <w:t xml:space="preserve">116 990 Kč</w:t>
            </w:r>
          </w:p>
        </w:tc>
        <w:tc>
          <w:tcPr>
            <w:tcW w:w="1000" w:type="dxa"/>
          </w:tcPr>
          <w:p>
            <w:pPr>
              <w:jc w:val="center"/>
            </w:pPr>
            <w:r>
              <w:rPr/>
              <w:t xml:space="preserve">39 164 Kč</w:t>
            </w:r>
          </w:p>
        </w:tc>
        <w:tc>
          <w:tcPr>
            <w:tcW w:w="1000" w:type="dxa"/>
          </w:tcPr>
          <w:p>
            <w:pPr>
              <w:jc w:val="center"/>
            </w:pPr>
            <w:r>
              <w:rPr/>
              <w:t xml:space="preserve">51 988 Kč</w:t>
            </w:r>
          </w:p>
        </w:tc>
        <w:tc>
          <w:tcPr>
            <w:tcW w:w="1000" w:type="dxa"/>
          </w:tcPr>
          <w:p>
            <w:pPr>
              <w:jc w:val="center"/>
            </w:pPr>
            <w:r>
              <w:rPr/>
              <w:t xml:space="preserve">70 694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36 521 Kč</w:t>
            </w:r>
          </w:p>
        </w:tc>
        <w:tc>
          <w:tcPr>
            <w:tcW w:w="1000" w:type="dxa"/>
          </w:tcPr>
          <w:p>
            <w:pPr>
              <w:jc w:val="center"/>
            </w:pPr>
            <w:r>
              <w:rPr/>
              <w:t xml:space="preserve">45 998 Kč</w:t>
            </w:r>
          </w:p>
        </w:tc>
        <w:tc>
          <w:tcPr>
            <w:tcW w:w="1000" w:type="dxa"/>
          </w:tcPr>
          <w:p>
            <w:pPr>
              <w:jc w:val="center"/>
            </w:pPr>
            <w:r>
              <w:rPr/>
              <w:t xml:space="preserve">53 818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38 852 Kč</w:t>
            </w:r>
          </w:p>
        </w:tc>
        <w:tc>
          <w:tcPr>
            <w:tcW w:w="1000" w:type="dxa"/>
          </w:tcPr>
          <w:p>
            <w:pPr>
              <w:jc w:val="center"/>
            </w:pPr>
            <w:r>
              <w:rPr/>
              <w:t xml:space="preserve">46 186 Kč</w:t>
            </w:r>
          </w:p>
        </w:tc>
        <w:tc>
          <w:tcPr>
            <w:tcW w:w="1000" w:type="dxa"/>
          </w:tcPr>
          <w:p>
            <w:pPr>
              <w:jc w:val="center"/>
            </w:pPr>
            <w:r>
              <w:rPr/>
              <w:t xml:space="preserve">53 739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35 880 Kč</w:t>
            </w:r>
          </w:p>
        </w:tc>
        <w:tc>
          <w:tcPr>
            <w:tcW w:w="1000" w:type="dxa"/>
          </w:tcPr>
          <w:p>
            <w:pPr>
              <w:jc w:val="center"/>
            </w:pPr>
            <w:r>
              <w:rPr/>
              <w:t xml:space="preserve">44 700 Kč</w:t>
            </w:r>
          </w:p>
        </w:tc>
        <w:tc>
          <w:tcPr>
            <w:tcW w:w="1000" w:type="dxa"/>
          </w:tcPr>
          <w:p>
            <w:pPr>
              <w:jc w:val="center"/>
            </w:pPr>
            <w:r>
              <w:rPr/>
              <w:t xml:space="preserve">53 075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35 213 Kč</w:t>
            </w:r>
          </w:p>
        </w:tc>
        <w:tc>
          <w:tcPr>
            <w:tcW w:w="1000" w:type="dxa"/>
          </w:tcPr>
          <w:p>
            <w:pPr>
              <w:jc w:val="center"/>
            </w:pPr>
            <w:r>
              <w:rPr/>
              <w:t xml:space="preserve">45 483 Kč</w:t>
            </w:r>
          </w:p>
        </w:tc>
        <w:tc>
          <w:tcPr>
            <w:tcW w:w="1000" w:type="dxa"/>
          </w:tcPr>
          <w:p>
            <w:pPr>
              <w:jc w:val="center"/>
            </w:pPr>
            <w:r>
              <w:rPr/>
              <w:t xml:space="preserve">57 397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34 055 Kč</w:t>
            </w:r>
          </w:p>
        </w:tc>
        <w:tc>
          <w:tcPr>
            <w:tcW w:w="1000" w:type="dxa"/>
          </w:tcPr>
          <w:p>
            <w:pPr>
              <w:jc w:val="center"/>
            </w:pPr>
            <w:r>
              <w:rPr/>
              <w:t xml:space="preserve">42 923 Kč</w:t>
            </w:r>
          </w:p>
        </w:tc>
        <w:tc>
          <w:tcPr>
            <w:tcW w:w="1000" w:type="dxa"/>
          </w:tcPr>
          <w:p>
            <w:pPr>
              <w:jc w:val="center"/>
            </w:pPr>
            <w:r>
              <w:rPr/>
              <w:t xml:space="preserve">51 673 Kč</w:t>
            </w:r>
          </w:p>
        </w:tc>
      </w:tr>
      <w:tr>
        <w:trPr/>
        <w:tc>
          <w:tcPr>
            <w:tcW w:w="2000" w:type="dxa"/>
          </w:tcPr>
          <w:p>
            <w:pPr/>
            <w:r>
              <w:rPr/>
              <w:t xml:space="preserve">Královéhradecký kraj</w:t>
            </w:r>
          </w:p>
        </w:tc>
        <w:tc>
          <w:tcPr>
            <w:tcW w:w="1000" w:type="dxa"/>
          </w:tcPr>
          <w:p>
            <w:pPr>
              <w:jc w:val="center"/>
            </w:pPr>
            <w:r>
              <w:rPr/>
              <w:t xml:space="preserve">43 852 Kč</w:t>
            </w:r>
          </w:p>
        </w:tc>
        <w:tc>
          <w:tcPr>
            <w:tcW w:w="1000" w:type="dxa"/>
          </w:tcPr>
          <w:p>
            <w:pPr>
              <w:jc w:val="center"/>
            </w:pPr>
            <w:r>
              <w:rPr/>
              <w:t xml:space="preserve">55 946 Kč</w:t>
            </w:r>
          </w:p>
        </w:tc>
        <w:tc>
          <w:tcPr>
            <w:tcW w:w="1000" w:type="dxa"/>
          </w:tcPr>
          <w:p>
            <w:pPr>
              <w:jc w:val="center"/>
            </w:pPr>
            <w:r>
              <w:rPr/>
              <w:t xml:space="preserve">65 657 Kč</w:t>
            </w:r>
          </w:p>
        </w:tc>
        <w:tc>
          <w:tcPr>
            <w:tcW w:w="1000" w:type="dxa"/>
          </w:tcPr>
          <w:p>
            <w:pPr>
              <w:jc w:val="center"/>
            </w:pPr>
            <w:r>
              <w:rPr/>
              <w:t xml:space="preserve">37 205 Kč</w:t>
            </w:r>
          </w:p>
        </w:tc>
        <w:tc>
          <w:tcPr>
            <w:tcW w:w="1000" w:type="dxa"/>
          </w:tcPr>
          <w:p>
            <w:pPr>
              <w:jc w:val="center"/>
            </w:pPr>
            <w:r>
              <w:rPr/>
              <w:t xml:space="preserve">46 407 Kč</w:t>
            </w:r>
          </w:p>
        </w:tc>
        <w:tc>
          <w:tcPr>
            <w:tcW w:w="1000" w:type="dxa"/>
          </w:tcPr>
          <w:p>
            <w:pPr>
              <w:jc w:val="center"/>
            </w:pPr>
            <w:r>
              <w:rPr/>
              <w:t xml:space="preserve">55 454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35 671 Kč</w:t>
            </w:r>
          </w:p>
        </w:tc>
        <w:tc>
          <w:tcPr>
            <w:tcW w:w="1000" w:type="dxa"/>
          </w:tcPr>
          <w:p>
            <w:pPr>
              <w:jc w:val="center"/>
            </w:pPr>
            <w:r>
              <w:rPr/>
              <w:t xml:space="preserve">44 002 Kč</w:t>
            </w:r>
          </w:p>
        </w:tc>
        <w:tc>
          <w:tcPr>
            <w:tcW w:w="1000" w:type="dxa"/>
          </w:tcPr>
          <w:p>
            <w:pPr>
              <w:jc w:val="center"/>
            </w:pPr>
            <w:r>
              <w:rPr/>
              <w:t xml:space="preserve">53 298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36 692 Kč</w:t>
            </w:r>
          </w:p>
        </w:tc>
        <w:tc>
          <w:tcPr>
            <w:tcW w:w="1000" w:type="dxa"/>
          </w:tcPr>
          <w:p>
            <w:pPr>
              <w:jc w:val="center"/>
            </w:pPr>
            <w:r>
              <w:rPr/>
              <w:t xml:space="preserve">43 574 Kč</w:t>
            </w:r>
          </w:p>
        </w:tc>
        <w:tc>
          <w:tcPr>
            <w:tcW w:w="1000" w:type="dxa"/>
          </w:tcPr>
          <w:p>
            <w:pPr>
              <w:jc w:val="center"/>
            </w:pPr>
            <w:r>
              <w:rPr/>
              <w:t xml:space="preserve">51 430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33 714 Kč</w:t>
            </w:r>
          </w:p>
        </w:tc>
        <w:tc>
          <w:tcPr>
            <w:tcW w:w="1000" w:type="dxa"/>
          </w:tcPr>
          <w:p>
            <w:pPr>
              <w:jc w:val="center"/>
            </w:pPr>
            <w:r>
              <w:rPr/>
              <w:t xml:space="preserve">41 666 Kč</w:t>
            </w:r>
          </w:p>
        </w:tc>
        <w:tc>
          <w:tcPr>
            <w:tcW w:w="1000" w:type="dxa"/>
          </w:tcPr>
          <w:p>
            <w:pPr>
              <w:jc w:val="center"/>
            </w:pPr>
            <w:r>
              <w:rPr/>
              <w:t xml:space="preserve">52 208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36 578 Kč</w:t>
            </w:r>
          </w:p>
        </w:tc>
        <w:tc>
          <w:tcPr>
            <w:tcW w:w="1000" w:type="dxa"/>
          </w:tcPr>
          <w:p>
            <w:pPr>
              <w:jc w:val="center"/>
            </w:pPr>
            <w:r>
              <w:rPr/>
              <w:t xml:space="preserve">46 910 Kč</w:t>
            </w:r>
          </w:p>
        </w:tc>
        <w:tc>
          <w:tcPr>
            <w:tcW w:w="1000" w:type="dxa"/>
          </w:tcPr>
          <w:p>
            <w:pPr>
              <w:jc w:val="center"/>
            </w:pPr>
            <w:r>
              <w:rPr/>
              <w:t xml:space="preserve">52 881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34 207 Kč</w:t>
            </w:r>
          </w:p>
        </w:tc>
        <w:tc>
          <w:tcPr>
            <w:tcW w:w="1000" w:type="dxa"/>
          </w:tcPr>
          <w:p>
            <w:pPr>
              <w:jc w:val="center"/>
            </w:pPr>
            <w:r>
              <w:rPr/>
              <w:t xml:space="preserve">43 795 Kč</w:t>
            </w:r>
          </w:p>
        </w:tc>
        <w:tc>
          <w:tcPr>
            <w:tcW w:w="1000" w:type="dxa"/>
          </w:tcPr>
          <w:p>
            <w:pPr>
              <w:jc w:val="center"/>
            </w:pPr>
            <w:r>
              <w:rPr/>
              <w:t xml:space="preserve">52 127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34 860 Kč</w:t>
            </w:r>
          </w:p>
        </w:tc>
        <w:tc>
          <w:tcPr>
            <w:tcW w:w="1000" w:type="dxa"/>
          </w:tcPr>
          <w:p>
            <w:pPr>
              <w:jc w:val="center"/>
            </w:pPr>
            <w:r>
              <w:rPr/>
              <w:t xml:space="preserve">45 196 Kč</w:t>
            </w:r>
          </w:p>
        </w:tc>
        <w:tc>
          <w:tcPr>
            <w:tcW w:w="1000" w:type="dxa"/>
          </w:tcPr>
          <w:p>
            <w:pPr>
              <w:jc w:val="center"/>
            </w:pPr>
            <w:r>
              <w:rPr/>
              <w:t xml:space="preserve">55 433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46 444 Kč</w:t>
            </w:r>
          </w:p>
        </w:tc>
        <w:tc>
          <w:tcPr>
            <w:tcW w:w="1000" w:type="dxa"/>
          </w:tcPr>
          <w:p>
            <w:pPr>
              <w:jc w:val="center"/>
            </w:pPr>
            <w:r>
              <w:rPr/>
              <w:t xml:space="preserve">54 382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45 221 Kč</w:t>
            </w:r>
          </w:p>
        </w:tc>
        <w:tc>
          <w:tcPr>
            <w:tcW w:w="1000" w:type="dxa"/>
          </w:tcPr>
          <w:p>
            <w:pPr>
              <w:jc w:val="center"/>
            </w:pPr>
            <w:r>
              <w:rPr/>
              <w:t xml:space="preserve">55 853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Zbrojní oprávnění dle zákona č. 90/2024 Sb., o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pStyle w:val="Heading3"/>
      </w:pPr>
      <w:bookmarkStart w:id="19" w:name="_Toc19"/>
      <w:r>
        <w:t>Onemocnění omezující výkon povolání / specializace povolání.</w:t>
      </w:r>
      <w:bookmarkEnd w:id="19"/>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0AF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