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Vědecko-výzkumný pracovník</w:t>
      </w:r>
      <w:bookmarkEnd w:id="1"/>
    </w:p>
    <w:p>
      <w:pPr/>
      <w:r>
        <w:rPr/>
        <w:t xml:space="preserve">Vědecko-výzkumný pracovník řeší vědecké, výzkumné a vývojové úkoly a projekty v příslušném oboru/disciplíně, mezioborově či multioborově, vytváří nové vědecké teorie, dochází k novým poznatkům, vyvíjí nové metody a technologie, analyzuje vývojové trendy, zpracovává odborná stanoviska nebo využívá nejnovější poznatky a aplikuje je ve své výzkumné a vývojové činnosti.</w:t>
      </w:r>
    </w:p>
    <w:p/>
    <w:tbl>
      <w:tblGrid>
        <w:gridCol w:w="3000" w:type="dxa"/>
        <w:gridCol w:w="6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/>
            <w:r>
              <w:rPr>
                <w:b w:val="1"/>
                <w:bCs w:val="1"/>
              </w:rPr>
              <w:t xml:space="preserve">Odborný směr:</w:t>
            </w:r>
          </w:p>
        </w:tc>
        <w:tc>
          <w:tcPr>
            <w:tcW w:w="6000" w:type="dxa"/>
          </w:tcPr>
          <w:p>
            <w:pPr/>
            <w:r>
              <w:rPr/>
              <w:t xml:space="preserve">Věda, vzdělávání, sport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Odborný podsměr:</w:t>
            </w:r>
          </w:p>
        </w:tc>
        <w:tc>
          <w:tcPr/>
          <w:p>
            <w:pPr/>
            <w:r>
              <w:rPr/>
              <w:t xml:space="preserve">vysokoškolské vzdělávání a věda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Kvalifikační úroveň:</w:t>
            </w:r>
          </w:p>
        </w:tc>
        <w:tc>
          <w:tcPr/>
          <w:p>
            <w:pPr/>
            <w:r>
              <w:rPr/>
              <w:t xml:space="preserve">Doktorský studijní program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Alternativní názvy:</w:t>
            </w:r>
          </w:p>
        </w:tc>
        <w:tc>
          <w:tcPr/>
          <w:p>
            <w:pPr/>
            <w:r>
              <w:rPr/>
              <w:t xml:space="preserve">Vědecký pracovník, Výzkumný pracovník, Vývojový pracovník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Regulovaná jednotka práce:</w:t>
            </w:r>
          </w:p>
        </w:tc>
        <w:tc>
          <w:tcPr/>
          <w:p>
            <w:pPr/>
            <w:r>
              <w:rPr/>
              <w:t xml:space="preserve">ne</w:t>
            </w:r>
          </w:p>
        </w:tc>
      </w:tr>
    </w:tbl>
    <w:p/>
    <w:p>
      <w:pPr>
        <w:pStyle w:val="Heading2"/>
      </w:pPr>
      <w:bookmarkStart w:id="2" w:name="_Toc2"/>
      <w:r>
        <w:t>Pracovní činnosti</w:t>
      </w:r>
      <w:bookmarkEnd w:id="2"/>
    </w:p>
    <w:p>
      <w:pPr>
        <w:numPr>
          <w:ilvl w:val="0"/>
          <w:numId w:val="5"/>
        </w:numPr>
      </w:pPr>
      <w:r>
        <w:rPr/>
        <w:t xml:space="preserve">Řízení, koordinace řešení výzkumných a vývojových úkolů a projektů v oblasti přírodních, lékařských, společenských, humanitních, kulturních, matematických, filozofických, technických a ekonomických věd.</w:t>
      </w:r>
    </w:p>
    <w:p>
      <w:pPr>
        <w:numPr>
          <w:ilvl w:val="0"/>
          <w:numId w:val="5"/>
        </w:numPr>
      </w:pPr>
      <w:r>
        <w:rPr/>
        <w:t xml:space="preserve">Řešení výzkumných a vývojových úkolů s mezioborovými nebo multioborovými vazbami.</w:t>
      </w:r>
    </w:p>
    <w:p>
      <w:pPr>
        <w:numPr>
          <w:ilvl w:val="0"/>
          <w:numId w:val="5"/>
        </w:numPr>
      </w:pPr>
      <w:r>
        <w:rPr/>
        <w:t xml:space="preserve">Sledování výsledků výzkumů a meta výzkumů.</w:t>
      </w:r>
    </w:p>
    <w:p>
      <w:pPr>
        <w:numPr>
          <w:ilvl w:val="0"/>
          <w:numId w:val="5"/>
        </w:numPr>
      </w:pPr>
      <w:r>
        <w:rPr/>
        <w:t xml:space="preserve">Spolupráce s národními i mezinárodními výzkumnými pracovišti včetně stáží.</w:t>
      </w:r>
    </w:p>
    <w:p>
      <w:pPr>
        <w:numPr>
          <w:ilvl w:val="0"/>
          <w:numId w:val="5"/>
        </w:numPr>
      </w:pPr>
      <w:r>
        <w:rPr/>
        <w:t xml:space="preserve">Vývoj nových vědeckých teorií, technických a technologických postupů, nástrojů a materiálů a spolupráce na vývoji nových strojů, zařízení nebo produktů.</w:t>
      </w:r>
    </w:p>
    <w:p>
      <w:pPr>
        <w:numPr>
          <w:ilvl w:val="0"/>
          <w:numId w:val="5"/>
        </w:numPr>
      </w:pPr>
      <w:r>
        <w:rPr/>
        <w:t xml:space="preserve">Aplikace nových vědeckých poznatků ve vlastním výzkumu.</w:t>
      </w:r>
    </w:p>
    <w:p>
      <w:pPr>
        <w:numPr>
          <w:ilvl w:val="0"/>
          <w:numId w:val="5"/>
        </w:numPr>
      </w:pPr>
      <w:r>
        <w:rPr/>
        <w:t xml:space="preserve">Inovace a vylepšování stávajících výzkumných metod a postupů.</w:t>
      </w:r>
    </w:p>
    <w:p>
      <w:pPr>
        <w:numPr>
          <w:ilvl w:val="0"/>
          <w:numId w:val="5"/>
        </w:numPr>
      </w:pPr>
      <w:r>
        <w:rPr/>
        <w:t xml:space="preserve">Studium a analýza možností využití poznatků z výzkumu v aplikovaném výzkumu nebo praxi.</w:t>
      </w:r>
    </w:p>
    <w:p>
      <w:pPr>
        <w:numPr>
          <w:ilvl w:val="0"/>
          <w:numId w:val="5"/>
        </w:numPr>
      </w:pPr>
      <w:r>
        <w:rPr/>
        <w:t xml:space="preserve">Publikování odborných stanovisek, výsledků výzkumu a inovačních procesů.</w:t>
      </w:r>
    </w:p>
    <w:p>
      <w:pPr>
        <w:numPr>
          <w:ilvl w:val="0"/>
          <w:numId w:val="5"/>
        </w:numPr>
      </w:pPr>
      <w:r>
        <w:rPr/>
        <w:t xml:space="preserve">Mezinárodní spolupráce při řešení a publikování výsledků výzkumu.</w:t>
      </w:r>
    </w:p>
    <w:p/>
    <w:p>
      <w:pPr>
        <w:pStyle w:val="Heading2"/>
      </w:pPr>
      <w:bookmarkStart w:id="3" w:name="_Toc3"/>
      <w:r>
        <w:t>CZ-ISCO</w:t>
      </w:r>
      <w:bookmarkEnd w:id="3"/>
    </w:p>
    <w:p>
      <w:pPr>
        <w:numPr>
          <w:ilvl w:val="0"/>
          <w:numId w:val="5"/>
        </w:numPr>
      </w:pPr>
      <w:r>
        <w:rPr/>
        <w:t xml:space="preserve">Fyzici a astronomové</w:t>
      </w:r>
    </w:p>
    <w:p>
      <w:pPr>
        <w:numPr>
          <w:ilvl w:val="0"/>
          <w:numId w:val="5"/>
        </w:numPr>
      </w:pPr>
      <w:r>
        <w:rPr/>
        <w:t xml:space="preserve">Geologové, geofyzici a příbuzní pracovníci</w:t>
      </w:r>
    </w:p>
    <w:p>
      <w:pPr>
        <w:numPr>
          <w:ilvl w:val="0"/>
          <w:numId w:val="5"/>
        </w:numPr>
      </w:pPr>
      <w:r>
        <w:rPr/>
        <w:t xml:space="preserve">Biologové, botanici, zoologové a příbuzní specialisté</w:t>
      </w:r>
    </w:p>
    <w:p>
      <w:pPr>
        <w:numPr>
          <w:ilvl w:val="0"/>
          <w:numId w:val="5"/>
        </w:numPr>
      </w:pPr>
      <w:r>
        <w:rPr/>
        <w:t xml:space="preserve">Specialisté v oblasti matematiky, statistiky a pojistné matematiky</w:t>
      </w:r>
    </w:p>
    <w:p>
      <w:pPr>
        <w:numPr>
          <w:ilvl w:val="0"/>
          <w:numId w:val="5"/>
        </w:numPr>
      </w:pPr>
      <w:r>
        <w:rPr/>
        <w:t xml:space="preserve">Specialisté v oblasti průmyslového inženýrství a v příbuzných oblastech</w:t>
      </w:r>
    </w:p>
    <w:p>
      <w:pPr>
        <w:numPr>
          <w:ilvl w:val="0"/>
          <w:numId w:val="5"/>
        </w:numPr>
      </w:pPr>
      <w:r>
        <w:rPr/>
        <w:t xml:space="preserve">Sociologové, antropologové a specialisté v příbuzných oborech</w:t>
      </w:r>
    </w:p>
    <w:p>
      <w:pPr>
        <w:numPr>
          <w:ilvl w:val="0"/>
          <w:numId w:val="5"/>
        </w:numPr>
      </w:pPr>
      <w:r>
        <w:rPr/>
        <w:t xml:space="preserve">Filozofové, historici a politologové</w:t>
      </w:r>
    </w:p>
    <w:p/>
    <w:p>
      <w:pPr>
        <w:pStyle w:val="Heading3"/>
      </w:pPr>
      <w:bookmarkStart w:id="4" w:name="_Toc4"/>
      <w:r>
        <w:t>Hrubé měsíční mzdy podle krajů v roce 2025</w:t>
      </w:r>
      <w:bookmarkEnd w:id="4"/>
    </w:p>
    <w:p>
      <w:pPr>
        <w:pStyle w:val="Heading4"/>
      </w:pPr>
      <w:bookmarkStart w:id="5" w:name="_Toc5"/>
      <w:r>
        <w:t>Fyzici a astronomové (CZ-ISCO 2111)</w:t>
      </w:r>
      <w:bookmarkEnd w:id="5"/>
    </w:p>
    <w:tbl>
      <w:tblGrid>
        <w:gridCol w:w="2400" w:type="dxa"/>
        <w:gridCol w:w="1100" w:type="dxa"/>
        <w:gridCol w:w="1100" w:type="dxa"/>
        <w:gridCol w:w="1100" w:type="dxa"/>
        <w:gridCol w:w="1100" w:type="dxa"/>
        <w:gridCol w:w="1100" w:type="dxa"/>
        <w:gridCol w:w="11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400" w:type="dxa"/>
          </w:tcPr>
          <w:p/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2400" w:type="dxa"/>
          </w:tcPr>
          <w:p>
            <w:pPr/>
            <w:r>
              <w:rPr>
                <w:b w:val="1"/>
                <w:bCs w:val="1"/>
              </w:rPr>
              <w:t xml:space="preserve">Kraj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Hlavní město Praha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44 751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64 833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102 603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Středočeský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50 022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69 666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106 871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Plzeňský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52 973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67 611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96 382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Jihomoravský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41 191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67 467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106 542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Moravskoslezský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48 960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86 248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112 666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</w:tbl>
    <w:p/>
    <w:p>
      <w:pPr>
        <w:pStyle w:val="Heading4"/>
      </w:pPr>
      <w:bookmarkStart w:id="6" w:name="_Toc6"/>
      <w:r>
        <w:t>Geologové, geofyzici a příbuzní pracovníci (CZ-ISCO 2114)</w:t>
      </w:r>
      <w:bookmarkEnd w:id="6"/>
    </w:p>
    <w:tbl>
      <w:tblGrid>
        <w:gridCol w:w="2400" w:type="dxa"/>
        <w:gridCol w:w="1100" w:type="dxa"/>
        <w:gridCol w:w="1100" w:type="dxa"/>
        <w:gridCol w:w="1100" w:type="dxa"/>
        <w:gridCol w:w="1100" w:type="dxa"/>
        <w:gridCol w:w="1100" w:type="dxa"/>
        <w:gridCol w:w="11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400" w:type="dxa"/>
          </w:tcPr>
          <w:p/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2400" w:type="dxa"/>
          </w:tcPr>
          <w:p>
            <w:pPr/>
            <w:r>
              <w:rPr>
                <w:b w:val="1"/>
                <w:bCs w:val="1"/>
              </w:rPr>
              <w:t xml:space="preserve">Kraj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Jihomoravský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35 752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60 914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114 225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</w:tbl>
    <w:p/>
    <w:p>
      <w:pPr>
        <w:pStyle w:val="Heading4"/>
      </w:pPr>
      <w:bookmarkStart w:id="7" w:name="_Toc7"/>
      <w:r>
        <w:t>Biologové, botanici, zoologové a příbuzní specialisté (CZ-ISCO 2131)</w:t>
      </w:r>
      <w:bookmarkEnd w:id="7"/>
    </w:p>
    <w:tbl>
      <w:tblGrid>
        <w:gridCol w:w="2400" w:type="dxa"/>
        <w:gridCol w:w="1100" w:type="dxa"/>
        <w:gridCol w:w="1100" w:type="dxa"/>
        <w:gridCol w:w="1100" w:type="dxa"/>
        <w:gridCol w:w="1100" w:type="dxa"/>
        <w:gridCol w:w="1100" w:type="dxa"/>
        <w:gridCol w:w="11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400" w:type="dxa"/>
          </w:tcPr>
          <w:p/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2400" w:type="dxa"/>
          </w:tcPr>
          <w:p>
            <w:pPr/>
            <w:r>
              <w:rPr>
                <w:b w:val="1"/>
                <w:bCs w:val="1"/>
              </w:rPr>
              <w:t xml:space="preserve">Kraj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Hlavní město Praha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41 342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91 929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180 948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42 490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60 745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93 896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Středočeský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36 683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57 692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88 031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Jihočeský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38 283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54 039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89 376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Plzeňský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45 023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79 039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143 314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38 961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57 234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80 585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Ústecký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40 131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63 670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107 689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Liberecký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56 622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82 888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129 397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Pardubický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50 161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64 356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82 410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Kraj Vysočina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40 235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49 595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74 836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41 151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54 460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76 618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Jihomoravský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37 042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55 931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91 484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37 556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55 638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85 872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Olomoucký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34 760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52 607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79 515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38 578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60 029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96 211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Zlínský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44 888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65 043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88 134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Moravskoslezský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41 428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53 115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90 265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40 801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62 881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89 116 Kč</w:t>
            </w:r>
          </w:p>
        </w:tc>
      </w:tr>
    </w:tbl>
    <w:p/>
    <w:p>
      <w:pPr>
        <w:pStyle w:val="Heading4"/>
      </w:pPr>
      <w:bookmarkStart w:id="8" w:name="_Toc8"/>
      <w:r>
        <w:t>Specialisté v oblasti matematiky, statistiky a pojistné matematiky (CZ-ISCO 2120)</w:t>
      </w:r>
      <w:bookmarkEnd w:id="8"/>
    </w:p>
    <w:tbl>
      <w:tblGrid>
        <w:gridCol w:w="2400" w:type="dxa"/>
        <w:gridCol w:w="1100" w:type="dxa"/>
        <w:gridCol w:w="1100" w:type="dxa"/>
        <w:gridCol w:w="1100" w:type="dxa"/>
        <w:gridCol w:w="1100" w:type="dxa"/>
        <w:gridCol w:w="1100" w:type="dxa"/>
        <w:gridCol w:w="11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400" w:type="dxa"/>
          </w:tcPr>
          <w:p/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2400" w:type="dxa"/>
          </w:tcPr>
          <w:p>
            <w:pPr/>
            <w:r>
              <w:rPr>
                <w:b w:val="1"/>
                <w:bCs w:val="1"/>
              </w:rPr>
              <w:t xml:space="preserve">Kraj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Hlavní město Praha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50 219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83 432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157 543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Pardubický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52 720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80 522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108 148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Jihomoravský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40 276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65 907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82 152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</w:tbl>
    <w:p/>
    <w:p>
      <w:pPr>
        <w:pStyle w:val="Heading4"/>
      </w:pPr>
      <w:bookmarkStart w:id="9" w:name="_Toc9"/>
      <w:r>
        <w:t>Specialisté v oblasti průmyslového inženýrství a v příbuzných oblastech (CZ-ISCO 2141)</w:t>
      </w:r>
      <w:bookmarkEnd w:id="9"/>
    </w:p>
    <w:tbl>
      <w:tblGrid>
        <w:gridCol w:w="2400" w:type="dxa"/>
        <w:gridCol w:w="1100" w:type="dxa"/>
        <w:gridCol w:w="1100" w:type="dxa"/>
        <w:gridCol w:w="1100" w:type="dxa"/>
        <w:gridCol w:w="1100" w:type="dxa"/>
        <w:gridCol w:w="1100" w:type="dxa"/>
        <w:gridCol w:w="11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400" w:type="dxa"/>
          </w:tcPr>
          <w:p/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2400" w:type="dxa"/>
          </w:tcPr>
          <w:p>
            <w:pPr/>
            <w:r>
              <w:rPr>
                <w:b w:val="1"/>
                <w:bCs w:val="1"/>
              </w:rPr>
              <w:t xml:space="preserve">Kraj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Hlavní město Praha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46 588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67 832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123 837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45 727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59 915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90 058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Středočeský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41 903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64 831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109 558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39 538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48 048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58 943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Jihočeský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47 484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65 543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111 257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Plzeňský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45 626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64 413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98 334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40 332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47 794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70 118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Karlovarský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43 401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63 467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96 275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Ústecký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43 488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61 850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114 358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43 320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54 082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64 982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Liberecký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42 552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61 827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100 994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40 659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48 936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59 947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Královéhradecký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46 073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62 425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100 365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Pardubický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42 610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56 758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92 354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44 518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53 885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69 881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Kraj Vysočina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42 782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60 170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94 410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Jihomoravský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43 592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58 486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94 068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40 221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52 223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70 739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Olomoucký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44 221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58 173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84 983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42 280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53 026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76 612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Zlínský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41 341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54 108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90 506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47 740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53 218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66 949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Moravskoslezský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41 210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60 904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101 781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44 458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56 977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75 725 Kč</w:t>
            </w:r>
          </w:p>
        </w:tc>
      </w:tr>
    </w:tbl>
    <w:p/>
    <w:p>
      <w:pPr>
        <w:pStyle w:val="Heading4"/>
      </w:pPr>
      <w:bookmarkStart w:id="10" w:name="_Toc10"/>
      <w:r>
        <w:t>Sociologové, antropologové a specialisté v příbuzných oborech (CZ-ISCO 2632)</w:t>
      </w:r>
      <w:bookmarkEnd w:id="10"/>
    </w:p>
    <w:tbl>
      <w:tblGrid>
        <w:gridCol w:w="2400" w:type="dxa"/>
        <w:gridCol w:w="1100" w:type="dxa"/>
        <w:gridCol w:w="1100" w:type="dxa"/>
        <w:gridCol w:w="1100" w:type="dxa"/>
        <w:gridCol w:w="1100" w:type="dxa"/>
        <w:gridCol w:w="1100" w:type="dxa"/>
        <w:gridCol w:w="11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400" w:type="dxa"/>
          </w:tcPr>
          <w:p/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2400" w:type="dxa"/>
          </w:tcPr>
          <w:p>
            <w:pPr/>
            <w:r>
              <w:rPr>
                <w:b w:val="1"/>
                <w:bCs w:val="1"/>
              </w:rPr>
              <w:t xml:space="preserve">Kraj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Hlavní město Praha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43 456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60 203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107 930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Jihomoravský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36 602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48 206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69 512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</w:tbl>
    <w:p/>
    <w:p>
      <w:pPr>
        <w:pStyle w:val="Heading4"/>
      </w:pPr>
      <w:bookmarkStart w:id="11" w:name="_Toc11"/>
      <w:r>
        <w:t>Filozofové, historici a politologové (CZ-ISCO 2633)</w:t>
      </w:r>
      <w:bookmarkEnd w:id="11"/>
    </w:p>
    <w:tbl>
      <w:tblGrid>
        <w:gridCol w:w="2400" w:type="dxa"/>
        <w:gridCol w:w="1100" w:type="dxa"/>
        <w:gridCol w:w="1100" w:type="dxa"/>
        <w:gridCol w:w="1100" w:type="dxa"/>
        <w:gridCol w:w="1100" w:type="dxa"/>
        <w:gridCol w:w="1100" w:type="dxa"/>
        <w:gridCol w:w="11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400" w:type="dxa"/>
          </w:tcPr>
          <w:p/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2400" w:type="dxa"/>
          </w:tcPr>
          <w:p>
            <w:pPr/>
            <w:r>
              <w:rPr>
                <w:b w:val="1"/>
                <w:bCs w:val="1"/>
              </w:rPr>
              <w:t xml:space="preserve">Kraj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Hlavní město Praha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39 101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51 847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85 687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</w:tbl>
    <w:p/>
    <w:p>
      <w:pPr>
        <w:pStyle w:val="Heading3"/>
      </w:pPr>
      <w:bookmarkStart w:id="12" w:name="_Toc12"/>
      <w:r>
        <w:t>Hrubé měsíční mzdy v roce 2025 celkem</w:t>
      </w:r>
      <w:bookmarkEnd w:id="12"/>
    </w:p>
    <w:tbl>
      <w:tblGrid>
        <w:gridCol w:w="1000" w:type="dxa"/>
        <w:gridCol w:w="2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  <w:gridSpan w:val="2"/>
          </w:tcPr>
          <w:p/>
        </w:tc>
        <w:tc>
          <w:tcPr>
            <w:tcW w:w="6000" w:type="dxa"/>
            <w:gridSpan w:val="2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 za ČR celkem</w:t>
            </w:r>
          </w:p>
        </w:tc>
      </w:tr>
      <w:tr>
        <w:trPr/>
        <w:tc>
          <w:tcPr>
            <w:tcW w:w="1000" w:type="dxa"/>
          </w:tcPr>
          <w:p>
            <w:pPr/>
            <w:r>
              <w:rPr>
                <w:b w:val="1"/>
                <w:bCs w:val="1"/>
              </w:rPr>
              <w:t xml:space="preserve">CZ-ISCO</w:t>
            </w:r>
          </w:p>
        </w:tc>
        <w:tc>
          <w:tcPr>
            <w:tcW w:w="2000" w:type="dxa"/>
          </w:tcPr>
          <w:p/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2111</w:t>
            </w:r>
          </w:p>
        </w:tc>
        <w:tc>
          <w:tcPr>
            <w:tcW w:w="2000" w:type="dxa"/>
          </w:tcPr>
          <w:p>
            <w:pPr/>
            <w:r>
              <w:rPr/>
              <w:t xml:space="preserve">Fyzici a astronomové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65 227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70 687 Kč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2114</w:t>
            </w:r>
          </w:p>
        </w:tc>
        <w:tc>
          <w:tcPr>
            <w:tcW w:w="2000" w:type="dxa"/>
          </w:tcPr>
          <w:p>
            <w:pPr/>
            <w:r>
              <w:rPr/>
              <w:t xml:space="preserve">Geologové, geofyzici a příbuzní pracovníci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56 266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59 437 Kč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2131</w:t>
            </w:r>
          </w:p>
        </w:tc>
        <w:tc>
          <w:tcPr>
            <w:tcW w:w="2000" w:type="dxa"/>
          </w:tcPr>
          <w:p>
            <w:pPr/>
            <w:r>
              <w:rPr/>
              <w:t xml:space="preserve">Biologové, botanici, zoologové a příbuzní specialisté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57 710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65 882 Kč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2120</w:t>
            </w:r>
          </w:p>
        </w:tc>
        <w:tc>
          <w:tcPr>
            <w:tcW w:w="2000" w:type="dxa"/>
          </w:tcPr>
          <w:p>
            <w:pPr/>
            <w:r>
              <w:rPr/>
              <w:t xml:space="preserve">Specialisté v oblasti matematiky, statistiky a pojistné matematiky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53 694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80 267 Kč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2141</w:t>
            </w:r>
          </w:p>
        </w:tc>
        <w:tc>
          <w:tcPr>
            <w:tcW w:w="2000" w:type="dxa"/>
          </w:tcPr>
          <w:p>
            <w:pPr/>
            <w:r>
              <w:rPr/>
              <w:t xml:space="preserve">Specialisté v oblasti průmyslového inženýrství a v příbuzných oblastech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54 622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62 847 Kč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2632</w:t>
            </w:r>
          </w:p>
        </w:tc>
        <w:tc>
          <w:tcPr>
            <w:tcW w:w="2000" w:type="dxa"/>
          </w:tcPr>
          <w:p>
            <w:pPr/>
            <w:r>
              <w:rPr/>
              <w:t xml:space="preserve">Sociologové, antropologové a specialisté v příbuzných oborech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44 433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57 213 Kč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2633</w:t>
            </w:r>
          </w:p>
        </w:tc>
        <w:tc>
          <w:tcPr>
            <w:tcW w:w="2000" w:type="dxa"/>
          </w:tcPr>
          <w:p>
            <w:pPr/>
            <w:r>
              <w:rPr/>
              <w:t xml:space="preserve">Filozofové, historici a politologové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44 127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53 532 Kč</w:t>
            </w:r>
          </w:p>
        </w:tc>
      </w:tr>
    </w:tbl>
    <w:p/>
    <w:p>
      <w:pPr>
        <w:pStyle w:val="Heading2"/>
      </w:pPr>
      <w:bookmarkStart w:id="13" w:name="_Toc13"/>
      <w:r>
        <w:t>ESCO</w:t>
      </w:r>
      <w:bookmarkEnd w:id="13"/>
    </w:p>
    <w:tbl>
      <w:tblGrid>
        <w:gridCol w:w="3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 podskupiny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 podskupiny v ESCO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URL - podskupiny v ESCO</w:t>
            </w:r>
          </w:p>
        </w:tc>
      </w:tr>
      <w:tr>
        <w:trPr/>
        <w:tc>
          <w:tcPr>
            <w:tcW w:w="3000" w:type="dxa"/>
          </w:tcPr>
          <w:p>
            <w:pPr/>
            <w:r>
              <w:rPr/>
              <w:t xml:space="preserve">2633</w:t>
            </w:r>
          </w:p>
        </w:tc>
        <w:tc>
          <w:tcPr>
            <w:tcW w:w="3000" w:type="dxa"/>
          </w:tcPr>
          <w:p>
            <w:pPr/>
            <w:r>
              <w:rPr/>
              <w:t xml:space="preserve">Filozofové, historici a politologové</w:t>
            </w:r>
          </w:p>
        </w:tc>
        <w:tc>
          <w:tcPr>
            <w:tcW w:w="3000" w:type="dxa"/>
          </w:tcPr>
          <w:p>
            <w:pPr/>
            <w:r>
              <w:rPr/>
              <w:t xml:space="preserve">http://data.europa.eu/esco/isco/C2633</w:t>
            </w:r>
          </w:p>
        </w:tc>
      </w:tr>
      <w:tr>
        <w:trPr/>
        <w:tc>
          <w:tcPr>
            <w:tcW w:w="3000" w:type="dxa"/>
          </w:tcPr>
          <w:p>
            <w:pPr/>
            <w:r>
              <w:rPr/>
              <w:t xml:space="preserve">2120</w:t>
            </w:r>
          </w:p>
        </w:tc>
        <w:tc>
          <w:tcPr>
            <w:tcW w:w="3000" w:type="dxa"/>
          </w:tcPr>
          <w:p>
            <w:pPr/>
            <w:r>
              <w:rPr/>
              <w:t xml:space="preserve">Specialisté v oblasti matematiky, statistiky a pojistné matematiky</w:t>
            </w:r>
          </w:p>
        </w:tc>
        <w:tc>
          <w:tcPr>
            <w:tcW w:w="3000" w:type="dxa"/>
          </w:tcPr>
          <w:p>
            <w:pPr/>
            <w:r>
              <w:rPr/>
              <w:t xml:space="preserve">http://data.europa.eu/esco/isco/C2120</w:t>
            </w:r>
          </w:p>
        </w:tc>
      </w:tr>
      <w:tr>
        <w:trPr/>
        <w:tc>
          <w:tcPr>
            <w:tcW w:w="3000" w:type="dxa"/>
          </w:tcPr>
          <w:p>
            <w:pPr/>
            <w:r>
              <w:rPr/>
              <w:t xml:space="preserve">2632</w:t>
            </w:r>
          </w:p>
        </w:tc>
        <w:tc>
          <w:tcPr>
            <w:tcW w:w="3000" w:type="dxa"/>
          </w:tcPr>
          <w:p>
            <w:pPr/>
            <w:r>
              <w:rPr/>
              <w:t xml:space="preserve">Sociologové, antropologové a specialisté v příbuzných oborech</w:t>
            </w:r>
          </w:p>
        </w:tc>
        <w:tc>
          <w:tcPr>
            <w:tcW w:w="3000" w:type="dxa"/>
          </w:tcPr>
          <w:p>
            <w:pPr/>
            <w:r>
              <w:rPr/>
              <w:t xml:space="preserve">http://data.europa.eu/esco/isco/C2632</w:t>
            </w:r>
          </w:p>
        </w:tc>
      </w:tr>
      <w:tr>
        <w:trPr/>
        <w:tc>
          <w:tcPr>
            <w:tcW w:w="3000" w:type="dxa"/>
          </w:tcPr>
          <w:p>
            <w:pPr/>
            <w:r>
              <w:rPr/>
              <w:t xml:space="preserve">2141</w:t>
            </w:r>
          </w:p>
        </w:tc>
        <w:tc>
          <w:tcPr>
            <w:tcW w:w="3000" w:type="dxa"/>
          </w:tcPr>
          <w:p>
            <w:pPr/>
            <w:r>
              <w:rPr/>
              <w:t xml:space="preserve">Inženýři v průmyslu a ve výrobě</w:t>
            </w:r>
          </w:p>
        </w:tc>
        <w:tc>
          <w:tcPr>
            <w:tcW w:w="3000" w:type="dxa"/>
          </w:tcPr>
          <w:p>
            <w:pPr/>
            <w:r>
              <w:rPr/>
              <w:t xml:space="preserve">http://data.europa.eu/esco/isco/C2141</w:t>
            </w:r>
          </w:p>
        </w:tc>
      </w:tr>
      <w:tr>
        <w:trPr/>
        <w:tc>
          <w:tcPr>
            <w:tcW w:w="3000" w:type="dxa"/>
          </w:tcPr>
          <w:p>
            <w:pPr/>
            <w:r>
              <w:rPr/>
              <w:t xml:space="preserve">2131</w:t>
            </w:r>
          </w:p>
        </w:tc>
        <w:tc>
          <w:tcPr>
            <w:tcW w:w="3000" w:type="dxa"/>
          </w:tcPr>
          <w:p>
            <w:pPr/>
            <w:r>
              <w:rPr/>
              <w:t xml:space="preserve">Biologové, botanici, zoologové a specialisté v příbuzných oborech</w:t>
            </w:r>
          </w:p>
        </w:tc>
        <w:tc>
          <w:tcPr>
            <w:tcW w:w="3000" w:type="dxa"/>
          </w:tcPr>
          <w:p>
            <w:pPr/>
            <w:r>
              <w:rPr/>
              <w:t xml:space="preserve">http://data.europa.eu/esco/isco/C2131</w:t>
            </w:r>
          </w:p>
        </w:tc>
      </w:tr>
      <w:tr>
        <w:trPr/>
        <w:tc>
          <w:tcPr>
            <w:tcW w:w="3000" w:type="dxa"/>
          </w:tcPr>
          <w:p>
            <w:pPr/>
            <w:r>
              <w:rPr/>
              <w:t xml:space="preserve">2114</w:t>
            </w:r>
          </w:p>
        </w:tc>
        <w:tc>
          <w:tcPr>
            <w:tcW w:w="3000" w:type="dxa"/>
          </w:tcPr>
          <w:p>
            <w:pPr/>
            <w:r>
              <w:rPr/>
              <w:t xml:space="preserve">Geologové a geofyzici</w:t>
            </w:r>
          </w:p>
        </w:tc>
        <w:tc>
          <w:tcPr>
            <w:tcW w:w="3000" w:type="dxa"/>
          </w:tcPr>
          <w:p>
            <w:pPr/>
            <w:r>
              <w:rPr/>
              <w:t xml:space="preserve">http://data.europa.eu/esco/isco/C2114</w:t>
            </w:r>
          </w:p>
        </w:tc>
      </w:tr>
      <w:tr>
        <w:trPr/>
        <w:tc>
          <w:tcPr>
            <w:tcW w:w="3000" w:type="dxa"/>
          </w:tcPr>
          <w:p>
            <w:pPr/>
            <w:r>
              <w:rPr/>
              <w:t xml:space="preserve">2111</w:t>
            </w:r>
          </w:p>
        </w:tc>
        <w:tc>
          <w:tcPr>
            <w:tcW w:w="3000" w:type="dxa"/>
          </w:tcPr>
          <w:p>
            <w:pPr/>
            <w:r>
              <w:rPr/>
              <w:t xml:space="preserve">Fyzikové a astronomové</w:t>
            </w:r>
          </w:p>
        </w:tc>
        <w:tc>
          <w:tcPr>
            <w:tcW w:w="3000" w:type="dxa"/>
          </w:tcPr>
          <w:p>
            <w:pPr/>
            <w:r>
              <w:rPr/>
              <w:t xml:space="preserve">http://data.europa.eu/esco/isco/C2111</w:t>
            </w:r>
          </w:p>
        </w:tc>
      </w:tr>
    </w:tbl>
    <w:p/>
    <w:p/>
    <w:p/>
    <w:p/>
    <w:p/>
    <w:p/>
    <w:p/>
    <w:p/>
    <w:p/>
    <w:p>
      <w:pPr>
        <w:pStyle w:val="Heading2"/>
      </w:pPr>
      <w:bookmarkStart w:id="14" w:name="_Toc14"/>
      <w:r>
        <w:t>Příklady činností</w:t>
      </w:r>
      <w:bookmarkEnd w:id="14"/>
    </w:p>
    <w:tbl>
      <w:tblGrid>
        <w:gridCol w:w="7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7000" w:type="dxa"/>
          </w:tcPr>
          <w:p>
            <w:pPr/>
            <w:r>
              <w:rPr>
                <w:b w:val="1"/>
                <w:bCs w:val="1"/>
              </w:rPr>
              <w:t xml:space="preserve">Příklady činností ze veřejného sektoru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třída</w:t>
            </w:r>
          </w:p>
        </w:tc>
      </w:tr>
      <w:tr>
        <w:trPr/>
        <w:tc>
          <w:tcPr>
            <w:tcW w:w="7000" w:type="dxa"/>
          </w:tcPr>
          <w:p>
            <w:pPr/>
            <w:r>
              <w:rPr/>
              <w:t xml:space="preserve">Řešení úkolů základního výzkumu a vývoje s rozhodujícím významem pro rozvoj příslušného vědního oboru, tvůrčí koordinace projektů s celostátním nebo mezinárodním významem včetně vedení výzkumného týmu.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16</w:t>
            </w:r>
          </w:p>
        </w:tc>
      </w:tr>
      <w:tr>
        <w:trPr/>
        <w:tc>
          <w:tcPr>
            <w:tcW w:w="7000" w:type="dxa"/>
          </w:tcPr>
          <w:p>
            <w:pPr/>
            <w:r>
              <w:rPr/>
              <w:t xml:space="preserve">Řešení principiálně nových vědeckovýzkumných okruhů s rámcově velmi neurčitě vymezenými vstupy a nespecifikovatelnými výstupy zpravidla významově přesahující velmi dlouhé časové horizonty (generace) s dopady na široké spektrum dalších činnosti, vyžadující velmi vysoký stupeň zobecnění jevů.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16</w:t>
            </w:r>
          </w:p>
        </w:tc>
      </w:tr>
      <w:tr>
        <w:trPr/>
        <w:tc>
          <w:tcPr>
            <w:tcW w:w="7000" w:type="dxa"/>
          </w:tcPr>
          <w:p>
            <w:pPr/>
            <w:r>
              <w:rPr/>
              <w:t xml:space="preserve">Tvůrčí řešení nejnáročnějších výzkumných a vývojových úkolů nebo provádění velmi náročných a obtížných výzkumných a vývojových prací při tvůrčím řešení úkolů celostátního významu pro rozvoj odvětví nebo vědního oboru a případně vedení výzkumného týmu.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15</w:t>
            </w:r>
          </w:p>
        </w:tc>
      </w:tr>
      <w:tr>
        <w:trPr/>
        <w:tc>
          <w:tcPr>
            <w:tcW w:w="7000" w:type="dxa"/>
          </w:tcPr>
          <w:p>
            <w:pPr/>
            <w:r>
              <w:rPr/>
              <w:t xml:space="preserve">Řešení komplexu úkolů s neurčitě zadanými vstupy a neurčitě vymezenými výstupy zpravidla s dlouhodobým časovým horizontem řešení a rozsáhlými a složitými vazbami na ostatní vědní obory, vyžadující vysoký stupeň zobecnění jevů.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15</w:t>
            </w:r>
          </w:p>
        </w:tc>
      </w:tr>
      <w:tr>
        <w:trPr/>
        <w:tc>
          <w:tcPr>
            <w:tcW w:w="7000" w:type="dxa"/>
          </w:tcPr>
          <w:p>
            <w:pPr/>
            <w:r>
              <w:rPr/>
              <w:t xml:space="preserve">Samostatné řešení závažných a složitých výzkumných a vývojových úkolů nebo samostatné provádění náročných a obtížných výzkumných a vývojových prací při řešení a realizaci úkolů rozvoje vědy a techniky řešených výzkumným týmem.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14</w:t>
            </w:r>
          </w:p>
        </w:tc>
      </w:tr>
      <w:tr>
        <w:trPr/>
        <w:tc>
          <w:tcPr>
            <w:tcW w:w="7000" w:type="dxa"/>
          </w:tcPr>
          <w:p>
            <w:pPr/>
            <w:r>
              <w:rPr/>
              <w:t xml:space="preserve">Komplexní řešení výzkumných a vývojových úkolů s definovanými vstupy a rámcově určenými výstupy ve stanoveném čase a s vazbami na příbuzné vědní obory.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14</w:t>
            </w:r>
          </w:p>
        </w:tc>
      </w:tr>
    </w:tbl>
    <w:p/>
    <w:p>
      <w:pPr>
        <w:pStyle w:val="Heading2"/>
      </w:pPr>
      <w:bookmarkStart w:id="15" w:name="_Toc15"/>
      <w:r>
        <w:t>Pracovní podmínky</w:t>
      </w:r>
      <w:bookmarkEnd w:id="15"/>
    </w:p>
    <w:p>
      <w:pPr/>
      <w:r>
        <w:rPr/>
        <w:t xml:space="preserve">Rizikové faktory pracovních podmínek a vyskytující se druhy zátěže upravuje nařízení vlády č. 361/2007 Sb., kterým se stanoví podmínky ochrany zdraví při práci, zákon č. 258/2000 Sb., o ochraně veřejného zdraví a zákon č. 262/2006 Sb., zákoník práce. Vždy vyplývají z pracovních podmínek, které se vztahují ke konkrétnímu zaměstnavateli, tudíž se mohou u různých zaměstnavatelů lišit.</w:t>
      </w:r>
    </w:p>
    <w:p/>
    <w:p>
      <w:pPr/>
      <w:r>
        <w:rPr/>
        <w:t xml:space="preserve">Určení míry výskytu faktorů, které mohou ovlivnit zdraví při práci vychází z druhu práce vykonávané na pracovišti. Faktory se zařazují do čtyř kategorií dle míry zdravotního rizika a jeho vlivu na zdraví. O zařazení prací do třetí nebo čtvrté kategorie rozhoduje příslušný orgán ochrany veřejného zdraví.</w:t>
      </w:r>
    </w:p>
    <w:p/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1. Stupeň zátěže (minimální zdravotní riziko) - Faktor se při výkonu práce nevyskytuje nebo je zátěž faktorem minimální, vliv faktoru je ze zdravotního hlediska nevýznamný.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2. Stupeň zátěže (únosná míra zdravotního rizika) - Ze zdravotního hlediska je míra zátěže faktorem únosná, nepřekračuje limity stanovené předpisy, vliv faktoru je akceptovatelný pro zdravého člověka.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3. Stupeň zátěže (významná míra zdravotního rizika) - Úroveň zátěže překračuje stanovené limitní hodnoty expozice (zátěže), na pracovištích je nutná realizace náhradních technických a organizačních opatření, nelze vyloučit negativní vliv na zdraví pracovníků.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4. Stupeň zátěže (vysoká míra zdravotního rizika) - Úroveň zátěže vysoce překračuje stanovené limitní hodnoty expozice, na pracovištích musí být dodržován soubor preventivních opatření, častěji dochází k poškození zdraví.</w:t>
      </w:r>
    </w:p>
    <w:p/>
    <w:p/>
    <w:p>
      <w:pPr>
        <w:pStyle w:val="Heading2"/>
      </w:pPr>
      <w:bookmarkStart w:id="16" w:name="_Toc16"/>
      <w:r>
        <w:t>Kvalifikace k výkonu povolání</w:t>
      </w:r>
      <w:bookmarkEnd w:id="16"/>
    </w:p>
    <w:p>
      <w:pPr>
        <w:pStyle w:val="Heading3"/>
      </w:pPr>
      <w:bookmarkStart w:id="17" w:name="_Toc17"/>
      <w:r>
        <w:t>Školní vzdělání</w:t>
      </w:r>
      <w:bookmarkEnd w:id="17"/>
    </w:p>
    <w:p/>
    <w:p>
      <w:pPr>
        <w:pStyle w:val="Heading4"/>
      </w:pPr>
      <w:bookmarkStart w:id="18" w:name="_Toc18"/>
      <w:r>
        <w:t>Nejvhodnější školní přípravu poskytují obory:</w:t>
      </w:r>
      <w:bookmarkEnd w:id="18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Doktorský studijní program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xxxxV</w:t>
            </w:r>
          </w:p>
        </w:tc>
      </w:tr>
    </w:tbl>
    <w:p/>
    <w:p>
      <w:pPr>
        <w:pStyle w:val="Heading4"/>
      </w:pPr>
      <w:bookmarkStart w:id="19" w:name="_Toc19"/>
      <w:r>
        <w:t>Vhodnou školní přípravu poskytují také obory:</w:t>
      </w:r>
      <w:bookmarkEnd w:id="19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Magisterský studijní program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xxxxT</w:t>
            </w:r>
          </w:p>
        </w:tc>
      </w:tr>
    </w:tbl>
    <w:p/>
    <w:p>
      <w:pPr>
        <w:pStyle w:val="Heading2"/>
      </w:pPr>
      <w:bookmarkStart w:id="20" w:name="_Toc20"/>
      <w:r>
        <w:t>Kompetenční požadavky</w:t>
      </w:r>
      <w:bookmarkEnd w:id="20"/>
    </w:p>
    <w:p>
      <w:pPr>
        <w:pStyle w:val="Heading3"/>
      </w:pPr>
      <w:bookmarkStart w:id="21" w:name="_Toc21"/>
      <w:r>
        <w:t>Odborné dovednosti</w:t>
      </w:r>
      <w:bookmarkEnd w:id="21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j41.D.1208</w:t>
            </w:r>
          </w:p>
        </w:tc>
        <w:tc>
          <w:tcPr>
            <w:tcW w:w="3000" w:type="dxa"/>
          </w:tcPr>
          <w:p>
            <w:pPr/>
            <w:r>
              <w:rPr/>
              <w:t xml:space="preserve">Publikační činnost v příslušném vědeckém oboru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8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j16.D.9002</w:t>
            </w:r>
          </w:p>
        </w:tc>
        <w:tc>
          <w:tcPr>
            <w:tcW w:w="3000" w:type="dxa"/>
          </w:tcPr>
          <w:p>
            <w:pPr/>
            <w:r>
              <w:rPr/>
              <w:t xml:space="preserve">Práce s odbornými texty a vědeckými poznatky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8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j42.D.2016</w:t>
            </w:r>
          </w:p>
        </w:tc>
        <w:tc>
          <w:tcPr>
            <w:tcW w:w="3000" w:type="dxa"/>
          </w:tcPr>
          <w:p>
            <w:pPr/>
            <w:r>
              <w:rPr/>
              <w:t xml:space="preserve">Zpracovávání koncepcí, metodik a prognóz rozvoje vědního oboru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8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j42.D.2015</w:t>
            </w:r>
          </w:p>
        </w:tc>
        <w:tc>
          <w:tcPr>
            <w:tcW w:w="3000" w:type="dxa"/>
          </w:tcPr>
          <w:p>
            <w:pPr/>
            <w:r>
              <w:rPr/>
              <w:t xml:space="preserve">Volba vhodné metodologie a metody pro vědeckou práci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8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j42.D.2017</w:t>
            </w:r>
          </w:p>
        </w:tc>
        <w:tc>
          <w:tcPr>
            <w:tcW w:w="3000" w:type="dxa"/>
          </w:tcPr>
          <w:p>
            <w:pPr/>
            <w:r>
              <w:rPr/>
              <w:t xml:space="preserve">Řešení výzkumných a vývojových úkolů vědního oboru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8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j42.D.2018</w:t>
            </w:r>
          </w:p>
        </w:tc>
        <w:tc>
          <w:tcPr>
            <w:tcW w:w="3000" w:type="dxa"/>
          </w:tcPr>
          <w:p>
            <w:pPr/>
            <w:r>
              <w:rPr/>
              <w:t xml:space="preserve">Zpracovávání odborných stanovisek, posudků a oponentur k výzkumným úkolům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8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j42.D.2019</w:t>
            </w:r>
          </w:p>
        </w:tc>
        <w:tc>
          <w:tcPr>
            <w:tcW w:w="3000" w:type="dxa"/>
          </w:tcPr>
          <w:p>
            <w:pPr/>
            <w:r>
              <w:rPr/>
              <w:t xml:space="preserve">Vyhotovování a vedení příslušné dokumentace v oblasti vývoje a výzkumu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8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j42.D.2020</w:t>
            </w:r>
          </w:p>
        </w:tc>
        <w:tc>
          <w:tcPr>
            <w:tcW w:w="3000" w:type="dxa"/>
          </w:tcPr>
          <w:p>
            <w:pPr/>
            <w:r>
              <w:rPr/>
              <w:t xml:space="preserve">Sledování vývoje ve vědním oboru (technologie, metodologie apod.)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8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j42.D.2021</w:t>
            </w:r>
          </w:p>
        </w:tc>
        <w:tc>
          <w:tcPr>
            <w:tcW w:w="3000" w:type="dxa"/>
          </w:tcPr>
          <w:p>
            <w:pPr/>
            <w:r>
              <w:rPr/>
              <w:t xml:space="preserve">Aplikování vědeckých poznatků do vývoje a aplikovaného výzkumu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8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j42.D.2022</w:t>
            </w:r>
          </w:p>
        </w:tc>
        <w:tc>
          <w:tcPr>
            <w:tcW w:w="3000" w:type="dxa"/>
          </w:tcPr>
          <w:p>
            <w:pPr/>
            <w:r>
              <w:rPr/>
              <w:t xml:space="preserve">Navrhování změn a úprav vyvíjeného na základě testování výsledků výzkumu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8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j42.D.2023</w:t>
            </w:r>
          </w:p>
        </w:tc>
        <w:tc>
          <w:tcPr>
            <w:tcW w:w="3000" w:type="dxa"/>
          </w:tcPr>
          <w:p>
            <w:pPr/>
            <w:r>
              <w:rPr/>
              <w:t xml:space="preserve">Zpracovávání technických podmínek a podkladů k jejich normalizaci, homologaci apod.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8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j42.D.2024</w:t>
            </w:r>
          </w:p>
        </w:tc>
        <w:tc>
          <w:tcPr>
            <w:tcW w:w="3000" w:type="dxa"/>
          </w:tcPr>
          <w:p>
            <w:pPr/>
            <w:r>
              <w:rPr/>
              <w:t xml:space="preserve">Analyzování vlivů a podmínek působících na užitné vlastnosti surovin, materiálů, polotovarů, výrobků; na životní prostředí, člověka, antroposféru apod.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8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j42.D.2026</w:t>
            </w:r>
          </w:p>
        </w:tc>
        <w:tc>
          <w:tcPr>
            <w:tcW w:w="3000" w:type="dxa"/>
          </w:tcPr>
          <w:p>
            <w:pPr/>
            <w:r>
              <w:rPr/>
              <w:t xml:space="preserve">Evaluace výsledků výzkumných a vývojových úkolů a vypracovávání zpráv nebo protokolů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8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j42.D.2027</w:t>
            </w:r>
          </w:p>
        </w:tc>
        <w:tc>
          <w:tcPr>
            <w:tcW w:w="3000" w:type="dxa"/>
          </w:tcPr>
          <w:p>
            <w:pPr/>
            <w:r>
              <w:rPr/>
              <w:t xml:space="preserve">Mezinárodní spolupráce při řešení výzkumných a vývojových úkolů ve vědním oboru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8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j42.C.1003</w:t>
            </w:r>
          </w:p>
        </w:tc>
        <w:tc>
          <w:tcPr>
            <w:tcW w:w="3000" w:type="dxa"/>
          </w:tcPr>
          <w:p>
            <w:pPr/>
            <w:r>
              <w:rPr/>
              <w:t xml:space="preserve">Koordinace prací na řešení výzkumných a vývojových úkolů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8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j42.C.1004</w:t>
            </w:r>
          </w:p>
        </w:tc>
        <w:tc>
          <w:tcPr>
            <w:tcW w:w="3000" w:type="dxa"/>
          </w:tcPr>
          <w:p>
            <w:pPr/>
            <w:r>
              <w:rPr/>
              <w:t xml:space="preserve">Řízení kolektivu výzkumných a technických pracovníků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8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j42.C.1005</w:t>
            </w:r>
          </w:p>
        </w:tc>
        <w:tc>
          <w:tcPr>
            <w:tcW w:w="3000" w:type="dxa"/>
          </w:tcPr>
          <w:p>
            <w:pPr/>
            <w:r>
              <w:rPr/>
              <w:t xml:space="preserve">Pedagogická a vzdělávací činnost v oblasti vývoje a výzkumu vědního oboru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8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22" w:name="_Toc22"/>
      <w:r>
        <w:t>Odborné znalosti</w:t>
      </w:r>
      <w:bookmarkEnd w:id="22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i51._.0024</w:t>
            </w:r>
          </w:p>
        </w:tc>
        <w:tc>
          <w:tcPr>
            <w:tcW w:w="3000" w:type="dxa"/>
          </w:tcPr>
          <w:p>
            <w:pPr/>
            <w:r>
              <w:rPr/>
              <w:t xml:space="preserve">projektový management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8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i41._.0098</w:t>
            </w:r>
          </w:p>
        </w:tc>
        <w:tc>
          <w:tcPr>
            <w:tcW w:w="3000" w:type="dxa"/>
          </w:tcPr>
          <w:p>
            <w:pPr/>
            <w:r>
              <w:rPr/>
              <w:t xml:space="preserve">související právní předpisy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8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j34._.0005</w:t>
            </w:r>
          </w:p>
        </w:tc>
        <w:tc>
          <w:tcPr>
            <w:tcW w:w="3000" w:type="dxa"/>
          </w:tcPr>
          <w:p>
            <w:pPr/>
            <w:r>
              <w:rPr/>
              <w:t xml:space="preserve">metodologie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8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i21._.0055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technická normalizace a státní zkušebnictví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8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j42._.0023</w:t>
            </w:r>
          </w:p>
        </w:tc>
        <w:tc>
          <w:tcPr>
            <w:tcW w:w="3000" w:type="dxa"/>
          </w:tcPr>
          <w:p>
            <w:pPr/>
            <w:r>
              <w:rPr/>
              <w:t xml:space="preserve">vědní obor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8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23" w:name="_Toc23"/>
      <w:r>
        <w:t>Digitální kompetence</w:t>
      </w:r>
      <w:bookmarkEnd w:id="23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Prohlížení, vyhledávání a filtrování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5.3</w:t>
            </w:r>
          </w:p>
        </w:tc>
        <w:tc>
          <w:tcPr>
            <w:tcW w:w="5000" w:type="dxa"/>
          </w:tcPr>
          <w:p>
            <w:pPr/>
            <w:r>
              <w:rPr/>
              <w:t xml:space="preserve">Kreativní využívání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5.2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potřeb a výběr vhodných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5.1</w:t>
            </w:r>
          </w:p>
        </w:tc>
        <w:tc>
          <w:tcPr>
            <w:tcW w:w="5000" w:type="dxa"/>
          </w:tcPr>
          <w:p>
            <w:pPr/>
            <w:r>
              <w:rPr/>
              <w:t xml:space="preserve">Řešení technických problémů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životního prostředí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4.3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zdraví a duševní pohody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osobních dat a soukromí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zařízení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Autorská práva a licence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3.2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Integrace a přepracování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3.1</w:t>
            </w:r>
          </w:p>
        </w:tc>
        <w:tc>
          <w:tcPr>
            <w:tcW w:w="5000" w:type="dxa"/>
          </w:tcPr>
          <w:p>
            <w:pPr/>
            <w:r>
              <w:rPr/>
              <w:t xml:space="preserve">Tvorba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2.5</w:t>
            </w:r>
          </w:p>
        </w:tc>
        <w:tc>
          <w:tcPr>
            <w:tcW w:w="5000" w:type="dxa"/>
          </w:tcPr>
          <w:p>
            <w:pPr/>
            <w:r>
              <w:rPr/>
              <w:t xml:space="preserve">Netiketa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Spolupráce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Sdílení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Interakce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Správa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Hodnocení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5.4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nedostatků v digitálních kompetencích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https://nsp.cz/downloads/Priloha_c15_manualu.pdf</w:t>
      </w:r>
    </w:p>
    <w:p/>
    <w:p>
      <w:pPr>
        <w:pStyle w:val="Heading3"/>
      </w:pPr>
      <w:bookmarkStart w:id="24" w:name="_Toc24"/>
      <w:r>
        <w:t>Měkké kompetence</w:t>
      </w:r>
      <w:bookmarkEnd w:id="24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0-5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celoživotnímu vzdělávání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4.5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samostatnosti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řešení problémů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podnikavosti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plánování a organizování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aktivnímu přístupu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objevování a orientaci v informacích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koncepčnímu myšlení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analytickému myšlení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vedení lidí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2.5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sebepoznání a porozumění druhým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ovlivňování a rozvíjení ostatních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orientaci na zákazníka a uspokojování zákaznických potřeb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kooperaci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efektivní komunikaci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zvládání stresu a zátěže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kreativitě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flexibilitě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výkonnosti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https://nsp.cz/downloads/Priloha_c9_manualu.pdf</w:t>
      </w:r>
    </w:p>
    <w:p/>
    <w:p>
      <w:pPr>
        <w:pStyle w:val="Heading2"/>
      </w:pPr>
      <w:bookmarkStart w:id="25" w:name="_Toc25"/>
      <w:r>
        <w:t>Zdravotní podmínky</w:t>
      </w:r>
      <w:bookmarkEnd w:id="25"/>
    </w:p>
    <w:p>
      <w:pPr>
        <w:pStyle w:val="Heading3"/>
      </w:pPr>
      <w:bookmarkStart w:id="26" w:name="_Toc26"/>
      <w:r>
        <w:t>Onemocnění omezující výkon povolání / specializace povolání.</w:t>
      </w:r>
      <w:bookmarkEnd w:id="26"/>
    </w:p>
    <w:p>
      <w:pPr>
        <w:numPr>
          <w:ilvl w:val="0"/>
          <w:numId w:val="5"/>
        </w:numPr>
      </w:pPr>
      <w:r>
        <w:rPr/>
        <w:t xml:space="preserve">Záchvatovité a kolapsové stavy</w:t>
      </w:r>
    </w:p>
    <w:p>
      <w:pPr>
        <w:numPr>
          <w:ilvl w:val="0"/>
          <w:numId w:val="5"/>
        </w:numPr>
      </w:pPr>
      <w:r>
        <w:rPr/>
        <w:t xml:space="preserve">Závažná nervová onemocnění a psychosomatická onemocnění</w:t>
      </w:r>
    </w:p>
    <w:p>
      <w:pPr>
        <w:pStyle w:val="Heading3"/>
      </w:pPr>
      <w:bookmarkStart w:id="27" w:name="_Toc27"/>
      <w:r>
        <w:t>Onemocnění vylučující výkon povolání / specializace povolání.e</w:t>
      </w:r>
      <w:bookmarkEnd w:id="27"/>
    </w:p>
    <w:p>
      <w:pPr>
        <w:numPr>
          <w:ilvl w:val="0"/>
          <w:numId w:val="5"/>
        </w:numPr>
      </w:pPr>
      <w:r>
        <w:rPr/>
        <w:t xml:space="preserve">Duševní poruchy a poruchy chování</w:t>
      </w:r>
    </w:p>
    <w:p>
      <w:pPr/>
      <w:r>
        <w:rPr>
          <w:sz w:val="16"/>
          <w:szCs w:val="16"/>
          <w:i w:val="1"/>
          <w:iCs w:val="1"/>
        </w:rPr>
        <w:t xml:space="preserve">Přesné posouzení zdravotního stavu s následným doporučením nebo nedoporučením výkonu této pozice je možné pouze po konzultaci s lékařem.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5">
    <w:nsid w:val="FEAC6818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120"/>
    </w:pPr>
    <w:rPr>
      <w:sz w:val="40"/>
      <w:szCs w:val="40"/>
      <w:b w:val="1"/>
      <w:bCs w:val="1"/>
    </w:rPr>
  </w:style>
  <w:style w:type="paragraph" w:styleId="Heading2">
    <w:link w:val="Heading2Char"/>
    <w:name w:val="heading 2"/>
    <w:basedOn w:val="Normal"/>
    <w:pPr>
      <w:spacing w:after="80"/>
    </w:pPr>
    <w:rPr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60"/>
    </w:pPr>
    <w:rPr>
      <w:sz w:val="24"/>
      <w:szCs w:val="24"/>
      <w:b w:val="1"/>
      <w:bCs w:val="1"/>
    </w:rPr>
  </w:style>
  <w:style w:type="paragraph" w:styleId="Heading4">
    <w:link w:val="Heading4Char"/>
    <w:name w:val="heading 4"/>
    <w:basedOn w:val="Normal"/>
    <w:pPr>
      <w:spacing w:after="6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FDV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NSP.CZ</dc:creator>
  <dc:title>Vědecko-výzkumný pracovník</dc:title>
  <dc:description>Vědecko-výzkumný pracovník řeší vědecké, výzkumné a vývojové úkoly a projekty v příslušném oboru/disciplíně, mezioborově či multioborově, vytváří nové vědecké teorie, dochází k novým poznatkům, vyvíjí nové metody a technologie, analyzuje vývojové trendy, zpracovává odborná stanoviska nebo využívá nejnovější poznatky a aplikuje je ve své výzkumné a vývojové činnosti.</dc:description>
  <dc:subject/>
  <cp:keywords/>
  <cp:category>Povolání</cp:category>
  <cp:lastModifiedBy/>
  <dcterms:created xsi:type="dcterms:W3CDTF">2017-11-22T09:07:43+01:00</dcterms:created>
  <dcterms:modified xsi:type="dcterms:W3CDTF">2024-08-21T17:10:09+02:00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