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Instruktor potápění</w:t>
      </w:r>
      <w:bookmarkEnd w:id="1"/>
    </w:p>
    <w:p>
      <w:pPr/>
      <w:r>
        <w:rPr/>
        <w:t xml:space="preserve">Instruktor potápění provádí v souladu s českými technickými normami teoretické školení a praktický výcvik v rekreačním přístrojovém potápění všech kvalifikačních stupňů potápěče.</w:t>
      </w:r>
    </w:p>
    <w:p/>
    <w:tbl>
      <w:tblGrid>
        <w:gridCol w:w="3000" w:type="dxa"/>
        <w:gridCol w:w="6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/>
            <w:r>
              <w:rPr>
                <w:b w:val="1"/>
                <w:bCs w:val="1"/>
              </w:rPr>
              <w:t xml:space="preserve">Odborný směr:</w:t>
            </w:r>
          </w:p>
        </w:tc>
        <w:tc>
          <w:tcPr>
            <w:tcW w:w="6000" w:type="dxa"/>
          </w:tcPr>
          <w:p>
            <w:pPr/>
            <w:r>
              <w:rPr/>
              <w:t xml:space="preserve">Věda, vzdělávání, sport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Odborný podsměr:</w:t>
            </w:r>
          </w:p>
        </w:tc>
        <w:tc>
          <w:tcPr/>
          <w:p>
            <w:pPr/>
            <w:r>
              <w:rPr/>
              <w:t xml:space="preserve">sport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Kvalifikační úroveň:</w:t>
            </w:r>
          </w:p>
        </w:tc>
        <w:tc>
          <w:tcPr/>
          <w:p>
            <w:pPr/>
            <w:r>
              <w:rPr/>
              <w:t xml:space="preserve">Střední vzdělání s výučním listem tříleté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Alternativní názvy:</w:t>
            </w:r>
          </w:p>
        </w:tc>
        <w:tc>
          <w:tcPr/>
          <w:p>
            <w:pPr/>
            <w:r>
              <w:rPr/>
              <w:t xml:space="preserve">Diving Instructor, Sportovní asistent, Potápěč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Regulovaná jednotka práce:</w:t>
            </w:r>
          </w:p>
        </w:tc>
        <w:tc>
          <w:tcPr/>
          <w:p>
            <w:pPr/>
            <w:r>
              <w:rPr/>
              <w:t xml:space="preserve">ne</w:t>
            </w:r>
          </w:p>
        </w:tc>
      </w:tr>
    </w:tbl>
    <w:p/>
    <w:p>
      <w:pPr>
        <w:pStyle w:val="Heading2"/>
      </w:pPr>
      <w:bookmarkStart w:id="2" w:name="_Toc2"/>
      <w:r>
        <w:t>Pracovní činnosti</w:t>
      </w:r>
      <w:bookmarkEnd w:id="2"/>
    </w:p>
    <w:p>
      <w:pPr>
        <w:numPr>
          <w:ilvl w:val="0"/>
          <w:numId w:val="5"/>
        </w:numPr>
      </w:pPr>
      <w:r>
        <w:rPr/>
        <w:t xml:space="preserve">Příprava a zajišťování organizačního a materiálového vybavení pro lekci potápění.</w:t>
      </w:r>
    </w:p>
    <w:p>
      <w:pPr>
        <w:numPr>
          <w:ilvl w:val="0"/>
          <w:numId w:val="5"/>
        </w:numPr>
      </w:pPr>
      <w:r>
        <w:rPr/>
        <w:t xml:space="preserve">Kontrola, údržba a ošetřování potápěčské výstroje před ponorem a po ponoru.</w:t>
      </w:r>
    </w:p>
    <w:p>
      <w:pPr>
        <w:numPr>
          <w:ilvl w:val="0"/>
          <w:numId w:val="5"/>
        </w:numPr>
      </w:pPr>
      <w:r>
        <w:rPr/>
        <w:t xml:space="preserve">Sestavování výstroje a pomoc s oblékáním do neoprenu a dalších součástí.</w:t>
      </w:r>
    </w:p>
    <w:p>
      <w:pPr>
        <w:numPr>
          <w:ilvl w:val="0"/>
          <w:numId w:val="5"/>
        </w:numPr>
      </w:pPr>
      <w:r>
        <w:rPr/>
        <w:t xml:space="preserve">Plánování ponoru a spotřeby dýchací směsi.</w:t>
      </w:r>
    </w:p>
    <w:p>
      <w:pPr>
        <w:numPr>
          <w:ilvl w:val="0"/>
          <w:numId w:val="5"/>
        </w:numPr>
      </w:pPr>
      <w:r>
        <w:rPr/>
        <w:t xml:space="preserve">Příprava a kontrola sestavy vhodné potápěčské techniky před ponorem.</w:t>
      </w:r>
    </w:p>
    <w:p>
      <w:pPr>
        <w:numPr>
          <w:ilvl w:val="0"/>
          <w:numId w:val="5"/>
        </w:numPr>
      </w:pPr>
      <w:r>
        <w:rPr/>
        <w:t xml:space="preserve">Příprava a vedení programu potápění.</w:t>
      </w:r>
    </w:p>
    <w:p>
      <w:pPr>
        <w:numPr>
          <w:ilvl w:val="0"/>
          <w:numId w:val="5"/>
        </w:numPr>
      </w:pPr>
      <w:r>
        <w:rPr/>
        <w:t xml:space="preserve">Příprava, organizace a vedení lekce přístrojového potápění.</w:t>
      </w:r>
    </w:p>
    <w:p>
      <w:pPr>
        <w:numPr>
          <w:ilvl w:val="0"/>
          <w:numId w:val="5"/>
        </w:numPr>
      </w:pPr>
      <w:r>
        <w:rPr/>
        <w:t xml:space="preserve">Stanovování postupů a metod nácviku plaveckých poloh a plaveckých dovedností při ponoru.</w:t>
      </w:r>
    </w:p>
    <w:p>
      <w:pPr>
        <w:numPr>
          <w:ilvl w:val="0"/>
          <w:numId w:val="5"/>
        </w:numPr>
      </w:pPr>
      <w:r>
        <w:rPr/>
        <w:t xml:space="preserve">Zajišťování kontaktní dopomoci při výuce na suchu i ve vodě.</w:t>
      </w:r>
    </w:p>
    <w:p>
      <w:pPr>
        <w:numPr>
          <w:ilvl w:val="0"/>
          <w:numId w:val="5"/>
        </w:numPr>
      </w:pPr>
      <w:r>
        <w:rPr/>
        <w:t xml:space="preserve">Vysvětlování technik a pravidel bezpečného ponoru.</w:t>
      </w:r>
    </w:p>
    <w:p>
      <w:pPr>
        <w:numPr>
          <w:ilvl w:val="0"/>
          <w:numId w:val="5"/>
        </w:numPr>
      </w:pPr>
      <w:r>
        <w:rPr/>
        <w:t xml:space="preserve">Dohled nad bezpečností klienta při ponoru.</w:t>
      </w:r>
    </w:p>
    <w:p>
      <w:pPr>
        <w:numPr>
          <w:ilvl w:val="0"/>
          <w:numId w:val="5"/>
        </w:numPr>
      </w:pPr>
      <w:r>
        <w:rPr/>
        <w:t xml:space="preserve">Průběžná kontrola času, hloubky, tlaku a regulace vztlaku.</w:t>
      </w:r>
    </w:p>
    <w:p>
      <w:pPr>
        <w:numPr>
          <w:ilvl w:val="0"/>
          <w:numId w:val="5"/>
        </w:numPr>
      </w:pPr>
      <w:r>
        <w:rPr/>
        <w:t xml:space="preserve">Poskytování první pomoci se zaměřením na potápěčské nehody.</w:t>
      </w:r>
    </w:p>
    <w:p>
      <w:pPr>
        <w:numPr>
          <w:ilvl w:val="0"/>
          <w:numId w:val="5"/>
        </w:numPr>
      </w:pPr>
      <w:r>
        <w:rPr/>
        <w:t xml:space="preserve">Přivolávání odborné pomoci a zdravotnické záchranné služby.</w:t>
      </w:r>
    </w:p>
    <w:p>
      <w:pPr>
        <w:numPr>
          <w:ilvl w:val="0"/>
          <w:numId w:val="5"/>
        </w:numPr>
      </w:pPr>
      <w:r>
        <w:rPr/>
        <w:t xml:space="preserve">Komunikování pomocí standardizované mezinárodní potápěčské signalizace.</w:t>
      </w:r>
    </w:p>
    <w:p>
      <w:pPr>
        <w:numPr>
          <w:ilvl w:val="0"/>
          <w:numId w:val="5"/>
        </w:numPr>
      </w:pPr>
      <w:r>
        <w:rPr/>
        <w:t xml:space="preserve">Vedení provozní dokumentace.</w:t>
      </w:r>
    </w:p>
    <w:p/>
    <w:p>
      <w:pPr>
        <w:pStyle w:val="Heading2"/>
      </w:pPr>
      <w:bookmarkStart w:id="3" w:name="_Toc3"/>
      <w:r>
        <w:t>CZ-ISCO</w:t>
      </w:r>
      <w:bookmarkEnd w:id="3"/>
    </w:p>
    <w:p>
      <w:pPr>
        <w:numPr>
          <w:ilvl w:val="0"/>
          <w:numId w:val="5"/>
        </w:numPr>
      </w:pPr>
      <w:r>
        <w:rPr/>
        <w:t xml:space="preserve">Instruktoři a programoví vedoucí v rekreačních zařízeních a fitcentrech</w:t>
      </w:r>
    </w:p>
    <w:p>
      <w:pPr>
        <w:numPr>
          <w:ilvl w:val="0"/>
          <w:numId w:val="5"/>
        </w:numPr>
      </w:pPr>
      <w:r>
        <w:rPr/>
        <w:t xml:space="preserve">Instruktoři a programoví vedoucí v rekreačních zařízeních a fitcentrech</w:t>
      </w:r>
    </w:p>
    <w:p/>
    <w:p/>
    <w:p>
      <w:pPr>
        <w:pStyle w:val="Heading2"/>
      </w:pPr>
      <w:bookmarkStart w:id="4" w:name="_Toc4"/>
      <w:r>
        <w:t>ESCO</w:t>
      </w:r>
      <w:bookmarkEnd w:id="4"/>
    </w:p>
    <w:tbl>
      <w:tblGrid>
        <w:gridCol w:w="3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 podskupiny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 podskupiny v ESCO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URL - podskupiny v ESCO</w:t>
            </w:r>
          </w:p>
        </w:tc>
      </w:tr>
      <w:tr>
        <w:trPr/>
        <w:tc>
          <w:tcPr>
            <w:tcW w:w="3000" w:type="dxa"/>
          </w:tcPr>
          <w:p>
            <w:pPr/>
            <w:r>
              <w:rPr/>
              <w:t xml:space="preserve">3423</w:t>
            </w:r>
          </w:p>
        </w:tc>
        <w:tc>
          <w:tcPr>
            <w:tcW w:w="3000" w:type="dxa"/>
          </w:tcPr>
          <w:p>
            <w:pPr/>
            <w:r>
              <w:rPr/>
              <w:t xml:space="preserve">Instruktoři a programoví vedoucí v rekreačních zařízeních a fitcentrech</w:t>
            </w:r>
          </w:p>
        </w:tc>
        <w:tc>
          <w:tcPr>
            <w:tcW w:w="3000" w:type="dxa"/>
          </w:tcPr>
          <w:p>
            <w:pPr/>
            <w:r>
              <w:rPr/>
              <w:t xml:space="preserve">http://data.europa.eu/esco/isco/C3423</w:t>
            </w:r>
          </w:p>
        </w:tc>
      </w:tr>
    </w:tbl>
    <w:p/>
    <w:p/>
    <w:p/>
    <w:p>
      <w:pPr>
        <w:pStyle w:val="Heading2"/>
      </w:pPr>
      <w:bookmarkStart w:id="5" w:name="_Toc5"/>
      <w:r>
        <w:t>Pracovní podmínky</w:t>
      </w:r>
      <w:bookmarkEnd w:id="5"/>
    </w:p>
    <w:p>
      <w:pPr/>
      <w:r>
        <w:rPr/>
        <w:t xml:space="preserve">Rizikové faktory pracovních podmínek a vyskytující se druhy zátěže upravuje nařízení vlády č. 361/2007 Sb., kterým se stanoví podmínky ochrany zdraví při práci, zákon č. 258/2000 Sb., o ochraně veřejného zdraví a zákon č. 262/2006 Sb., zákoník práce. Vždy vyplývají z pracovních podmínek, které se vztahují ke konkrétnímu zaměstnavateli, tudíž se mohou u různých zaměstnavatelů lišit.</w:t>
      </w:r>
    </w:p>
    <w:p/>
    <w:p>
      <w:pPr/>
      <w:r>
        <w:rPr/>
        <w:t xml:space="preserve">Určení míry výskytu faktorů, které mohou ovlivnit zdraví při práci vychází z druhu práce vykonávané na pracovišti. Faktory se zařazují do čtyř kategorií dle míry zdravotního rizika a jeho vlivu na zdraví. O zařazení prací do třetí nebo čtvrté kategorie rozhoduje příslušný orgán ochrany veřejného zdraví.</w:t>
      </w:r>
    </w:p>
    <w:p/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1. Stupeň zátěže (minimální zdravotní riziko) - Faktor se při výkonu práce nevyskytuje nebo je zátěž faktorem minimální, vliv faktoru je ze zdravotního hlediska nevýznamný.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2. Stupeň zátěže (únosná míra zdravotního rizika) - Ze zdravotního hlediska je míra zátěže faktorem únosná, nepřekračuje limity stanovené předpisy, vliv faktoru je akceptovatelný pro zdravého člověka.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3. Stupeň zátěže (významná míra zdravotního rizika) - Úroveň zátěže překračuje stanovené limitní hodnoty expozice (zátěže), na pracovištích je nutná realizace náhradních technických a organizačních opatření, nelze vyloučit negativní vliv na zdraví pracovníků.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4. Stupeň zátěže (vysoká míra zdravotního rizika) - Úroveň zátěže vysoce překračuje stanovené limitní hodnoty expozice, na pracovištích musí být dodržován soubor preventivních opatření, častěji dochází k poškození zdraví.</w:t>
      </w:r>
    </w:p>
    <w:p/>
    <w:p/>
    <w:p>
      <w:pPr>
        <w:pStyle w:val="Heading2"/>
      </w:pPr>
      <w:bookmarkStart w:id="6" w:name="_Toc6"/>
      <w:r>
        <w:t>Kvalifikace k výkonu povolání</w:t>
      </w:r>
      <w:bookmarkEnd w:id="6"/>
    </w:p>
    <w:p>
      <w:pPr>
        <w:pStyle w:val="Heading3"/>
      </w:pPr>
      <w:bookmarkStart w:id="7" w:name="_Toc7"/>
      <w:r>
        <w:t>Školní vzdělání</w:t>
      </w:r>
      <w:bookmarkEnd w:id="7"/>
    </w:p>
    <w:p/>
    <w:p>
      <w:pPr>
        <w:pStyle w:val="Heading4"/>
      </w:pPr>
      <w:bookmarkStart w:id="8" w:name="_Toc8"/>
      <w:r>
        <w:t>Nejvhodnější školní přípravu poskytují obory:</w:t>
      </w:r>
      <w:bookmarkEnd w:id="8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výučním listem v oboru tělesná kultura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7441H</w:t>
            </w:r>
          </w:p>
        </w:tc>
      </w:tr>
    </w:tbl>
    <w:p/>
    <w:p>
      <w:pPr>
        <w:pStyle w:val="Heading4"/>
      </w:pPr>
      <w:bookmarkStart w:id="9" w:name="_Toc9"/>
      <w:r>
        <w:t>Vhodnou školní přípravu poskytují také obory:</w:t>
      </w:r>
      <w:bookmarkEnd w:id="9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výučním listem ve skupině oborů tělesná kultura, tělovýchova a sport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74xxH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výučním listem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xxxxH</w:t>
            </w:r>
          </w:p>
        </w:tc>
      </w:tr>
    </w:tbl>
    <w:p/>
    <w:p>
      <w:pPr>
        <w:pStyle w:val="Heading3"/>
      </w:pPr>
      <w:bookmarkStart w:id="10" w:name="_Toc10"/>
      <w:r>
        <w:t>Další vzdělání</w:t>
      </w:r>
      <w:bookmarkEnd w:id="10"/>
    </w:p>
    <w:p>
      <w:pPr>
        <w:pStyle w:val="Heading4"/>
      </w:pPr>
      <w:bookmarkStart w:id="11" w:name="_Toc11"/>
      <w:r>
        <w:t>Profesní kvalifikace</w:t>
      </w:r>
      <w:bookmarkEnd w:id="11"/>
    </w:p>
    <w:p>
      <w:pPr>
        <w:numPr>
          <w:ilvl w:val="0"/>
          <w:numId w:val="5"/>
        </w:numPr>
      </w:pPr>
      <w:r>
        <w:rPr/>
        <w:t xml:space="preserve">Instruktor/instruktorka potápění (74-024-H)</w:t>
      </w:r>
    </w:p>
    <w:p/>
    <w:p>
      <w:pPr>
        <w:pStyle w:val="Heading3"/>
      </w:pPr>
      <w:bookmarkStart w:id="12" w:name="_Toc12"/>
      <w:r>
        <w:t>Další vhodné kvalifikace</w:t>
      </w:r>
      <w:bookmarkEnd w:id="12"/>
    </w:p>
    <w:p>
      <w:pPr>
        <w:numPr>
          <w:ilvl w:val="0"/>
          <w:numId w:val="5"/>
        </w:numPr>
      </w:pPr>
      <w:r>
        <w:rPr/>
        <w:t xml:space="preserve">doporučené - 3. kvalifikační stupeň - Vedoucí potápěč - Požadavky na výcvik rekreačních potápěčů v přístrojovém potápění dle ČSN EN ISO 24801-3 (761301)</w:t>
      </w:r>
    </w:p>
    <w:p>
      <w:pPr>
        <w:numPr>
          <w:ilvl w:val="0"/>
          <w:numId w:val="5"/>
        </w:numPr>
      </w:pPr>
      <w:r>
        <w:rPr/>
        <w:t xml:space="preserve">povinné - 2. kvalifikační stupeň - Požadavky na výcvik
instruktorů přístrojového potápění dle ČSN EN ISO 24802-2</w:t>
      </w:r>
    </w:p>
    <w:p>
      <w:pPr>
        <w:numPr>
          <w:ilvl w:val="0"/>
          <w:numId w:val="5"/>
        </w:numPr>
      </w:pPr>
      <w:r>
        <w:rPr/>
        <w:t xml:space="preserve">povinné - 2. kvalifikační stupeň - Samostatný potápěč dle ČSN EN ISO 24801-2</w:t>
      </w:r>
    </w:p>
    <w:p/>
    <w:p/>
    <w:p>
      <w:pPr>
        <w:pStyle w:val="Heading2"/>
      </w:pPr>
      <w:bookmarkStart w:id="13" w:name="_Toc13"/>
      <w:r>
        <w:t>Kompetenční požadavky</w:t>
      </w:r>
      <w:bookmarkEnd w:id="13"/>
    </w:p>
    <w:p>
      <w:pPr>
        <w:pStyle w:val="Heading3"/>
      </w:pPr>
      <w:bookmarkStart w:id="14" w:name="_Toc14"/>
      <w:r>
        <w:t>Odborné dovednosti</w:t>
      </w:r>
      <w:bookmarkEnd w:id="14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l23.D.2831</w:t>
            </w:r>
          </w:p>
        </w:tc>
        <w:tc>
          <w:tcPr>
            <w:tcW w:w="3000" w:type="dxa"/>
          </w:tcPr>
          <w:p>
            <w:pPr/>
            <w:r>
              <w:rPr/>
              <w:t xml:space="preserve">Volba sestavy vhodné potápěčské techniky a způsobu kontroly této techniky a výstroje potápěče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l23.A.3835</w:t>
            </w:r>
          </w:p>
        </w:tc>
        <w:tc>
          <w:tcPr>
            <w:tcW w:w="3000" w:type="dxa"/>
          </w:tcPr>
          <w:p>
            <w:pPr/>
            <w:r>
              <w:rPr/>
              <w:t xml:space="preserve">Příprava a kontrola sestavy vhodné potápěčské techniky potápěčů před ponorem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l23.C.7830</w:t>
            </w:r>
          </w:p>
        </w:tc>
        <w:tc>
          <w:tcPr>
            <w:tcW w:w="3000" w:type="dxa"/>
          </w:tcPr>
          <w:p>
            <w:pPr/>
            <w:r>
              <w:rPr/>
              <w:t xml:space="preserve">Poskytování první pomoci se zaměřením na potápěčské nehody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m31.B.4014</w:t>
            </w:r>
          </w:p>
        </w:tc>
        <w:tc>
          <w:tcPr>
            <w:tcW w:w="3000" w:type="dxa"/>
          </w:tcPr>
          <w:p>
            <w:pPr/>
            <w:r>
              <w:rPr/>
              <w:t xml:space="preserve">Kontrola a údržba potápěčské výstroje a techniky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m31.D.1113</w:t>
            </w:r>
          </w:p>
        </w:tc>
        <w:tc>
          <w:tcPr>
            <w:tcW w:w="3000" w:type="dxa"/>
          </w:tcPr>
          <w:p>
            <w:pPr/>
            <w:r>
              <w:rPr/>
              <w:t xml:space="preserve">Příprava, realizace a hodnocení programu rekreačního potápění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m31.D.1114</w:t>
            </w:r>
          </w:p>
        </w:tc>
        <w:tc>
          <w:tcPr>
            <w:tcW w:w="3000" w:type="dxa"/>
          </w:tcPr>
          <w:p>
            <w:pPr/>
            <w:r>
              <w:rPr/>
              <w:t xml:space="preserve">Příprava, realizace a hodnocení teoretických lekcí potápění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m31.D.1115</w:t>
            </w:r>
          </w:p>
        </w:tc>
        <w:tc>
          <w:tcPr>
            <w:tcW w:w="3000" w:type="dxa"/>
          </w:tcPr>
          <w:p>
            <w:pPr/>
            <w:r>
              <w:rPr/>
              <w:t xml:space="preserve">Příprava, realizace a hodnocení praktických lekcí potápění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m31.C.1038</w:t>
            </w:r>
          </w:p>
        </w:tc>
        <w:tc>
          <w:tcPr>
            <w:tcW w:w="3000" w:type="dxa"/>
          </w:tcPr>
          <w:p>
            <w:pPr/>
            <w:r>
              <w:rPr/>
              <w:t xml:space="preserve">Vedení nácviku plavání a potápění v bazénu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m31.C.1039</w:t>
            </w:r>
          </w:p>
        </w:tc>
        <w:tc>
          <w:tcPr>
            <w:tcW w:w="3000" w:type="dxa"/>
          </w:tcPr>
          <w:p>
            <w:pPr/>
            <w:r>
              <w:rPr/>
              <w:t xml:space="preserve">Vedení nácviku přístrojového potápění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m31.C.1040</w:t>
            </w:r>
          </w:p>
        </w:tc>
        <w:tc>
          <w:tcPr>
            <w:tcW w:w="3000" w:type="dxa"/>
          </w:tcPr>
          <w:p>
            <w:pPr/>
            <w:r>
              <w:rPr/>
              <w:t xml:space="preserve">Vedení nácviku orientace při potápění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m31.C.1041</w:t>
            </w:r>
          </w:p>
        </w:tc>
        <w:tc>
          <w:tcPr>
            <w:tcW w:w="3000" w:type="dxa"/>
          </w:tcPr>
          <w:p>
            <w:pPr/>
            <w:r>
              <w:rPr/>
              <w:t xml:space="preserve">Vedení nácviku potápění za ztížených podmínek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m31.D.1116</w:t>
            </w:r>
          </w:p>
        </w:tc>
        <w:tc>
          <w:tcPr>
            <w:tcW w:w="3000" w:type="dxa"/>
          </w:tcPr>
          <w:p>
            <w:pPr/>
            <w:r>
              <w:rPr/>
              <w:t xml:space="preserve">Plánování, příprava a realizace ponoru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m31.C.1042</w:t>
            </w:r>
          </w:p>
        </w:tc>
        <w:tc>
          <w:tcPr>
            <w:tcW w:w="3000" w:type="dxa"/>
          </w:tcPr>
          <w:p>
            <w:pPr/>
            <w:r>
              <w:rPr/>
              <w:t xml:space="preserve">Zajišťování bezpečnosti a prevence úrazů na plavecké výuce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5" w:name="_Toc15"/>
      <w:r>
        <w:t>Odborné znalosti</w:t>
      </w:r>
      <w:bookmarkEnd w:id="15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m31._.0092</w:t>
            </w:r>
          </w:p>
        </w:tc>
        <w:tc>
          <w:tcPr>
            <w:tcW w:w="3000" w:type="dxa"/>
          </w:tcPr>
          <w:p>
            <w:pPr/>
            <w:r>
              <w:rPr/>
              <w:t xml:space="preserve">činnosti potápěče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j13._.0015</w:t>
            </w:r>
          </w:p>
        </w:tc>
        <w:tc>
          <w:tcPr>
            <w:tcW w:w="3000" w:type="dxa"/>
          </w:tcPr>
          <w:p>
            <w:pPr/>
            <w:r>
              <w:rPr/>
              <w:t xml:space="preserve">potápěčská dekomprese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l23._.0087</w:t>
            </w:r>
          </w:p>
        </w:tc>
        <w:tc>
          <w:tcPr>
            <w:tcW w:w="3000" w:type="dxa"/>
          </w:tcPr>
          <w:p>
            <w:pPr/>
            <w:r>
              <w:rPr/>
              <w:t xml:space="preserve">potápěčská technika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m31._.0041</w:t>
            </w:r>
          </w:p>
        </w:tc>
        <w:tc>
          <w:tcPr>
            <w:tcW w:w="3000" w:type="dxa"/>
          </w:tcPr>
          <w:p>
            <w:pPr/>
            <w:r>
              <w:rPr/>
              <w:t xml:space="preserve">instruktorství a trenérství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k11._.0030</w:t>
            </w:r>
          </w:p>
        </w:tc>
        <w:tc>
          <w:tcPr>
            <w:tcW w:w="3000" w:type="dxa"/>
          </w:tcPr>
          <w:p>
            <w:pPr/>
            <w:r>
              <w:rPr/>
              <w:t xml:space="preserve">anatomie, fyziologie a patofyziologie člověka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m31._.0014</w:t>
            </w:r>
          </w:p>
        </w:tc>
        <w:tc>
          <w:tcPr>
            <w:tcW w:w="3000" w:type="dxa"/>
          </w:tcPr>
          <w:p>
            <w:pPr/>
            <w:r>
              <w:rPr/>
              <w:t xml:space="preserve">didaktika plavání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k15._.0006</w:t>
            </w:r>
          </w:p>
        </w:tc>
        <w:tc>
          <w:tcPr>
            <w:tcW w:w="3000" w:type="dxa"/>
          </w:tcPr>
          <w:p>
            <w:pPr/>
            <w:r>
              <w:rPr/>
              <w:t xml:space="preserve">zásady bezpečnosti zdraví a prevence úrazů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k11._.0007</w:t>
            </w:r>
          </w:p>
        </w:tc>
        <w:tc>
          <w:tcPr>
            <w:tcW w:w="3000" w:type="dxa"/>
          </w:tcPr>
          <w:p>
            <w:pPr/>
            <w:r>
              <w:rPr/>
              <w:t xml:space="preserve">první pomoc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i41._.0045</w:t>
            </w:r>
          </w:p>
        </w:tc>
        <w:tc>
          <w:tcPr>
            <w:tcW w:w="3000" w:type="dxa"/>
          </w:tcPr>
          <w:p>
            <w:pPr/>
            <w:r>
              <w:rPr/>
              <w:t xml:space="preserve">pravidla a předpisy pro provozování potápění (s přístrojem i bez přístroje)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m31._.0007</w:t>
            </w:r>
          </w:p>
        </w:tc>
        <w:tc>
          <w:tcPr>
            <w:tcW w:w="3000" w:type="dxa"/>
          </w:tcPr>
          <w:p>
            <w:pPr/>
            <w:r>
              <w:rPr/>
              <w:t xml:space="preserve">didaktika potápění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j13._.0007</w:t>
            </w:r>
          </w:p>
        </w:tc>
        <w:tc>
          <w:tcPr>
            <w:tcW w:w="3000" w:type="dxa"/>
          </w:tcPr>
          <w:p>
            <w:pPr/>
            <w:r>
              <w:rPr/>
              <w:t xml:space="preserve">aplikovaná fyzika potápění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m31._.0008</w:t>
            </w:r>
          </w:p>
        </w:tc>
        <w:tc>
          <w:tcPr>
            <w:tcW w:w="3000" w:type="dxa"/>
          </w:tcPr>
          <w:p>
            <w:pPr/>
            <w:r>
              <w:rPr/>
              <w:t xml:space="preserve">potápěčská výzbroj a výstroj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m31._.0020</w:t>
            </w:r>
          </w:p>
        </w:tc>
        <w:tc>
          <w:tcPr>
            <w:tcW w:w="3000" w:type="dxa"/>
          </w:tcPr>
          <w:p>
            <w:pPr/>
            <w:r>
              <w:rPr/>
              <w:t xml:space="preserve">potápěčská terminologie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6" w:name="_Toc16"/>
      <w:r>
        <w:t>Digitální kompetence</w:t>
      </w:r>
      <w:bookmarkEnd w:id="16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Prohlížení, vyhledávání a filtrování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Hodnocení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1.3</w:t>
            </w:r>
          </w:p>
        </w:tc>
        <w:tc>
          <w:tcPr>
            <w:tcW w:w="5000" w:type="dxa"/>
          </w:tcPr>
          <w:p>
            <w:pPr/>
            <w:r>
              <w:rPr/>
              <w:t xml:space="preserve">Správa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Interakce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Sdílení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2.4</w:t>
            </w:r>
          </w:p>
        </w:tc>
        <w:tc>
          <w:tcPr>
            <w:tcW w:w="5000" w:type="dxa"/>
          </w:tcPr>
          <w:p>
            <w:pPr/>
            <w:r>
              <w:rPr/>
              <w:t xml:space="preserve">Spolupráce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2.5</w:t>
            </w:r>
          </w:p>
        </w:tc>
        <w:tc>
          <w:tcPr>
            <w:tcW w:w="5000" w:type="dxa"/>
          </w:tcPr>
          <w:p>
            <w:pPr/>
            <w:r>
              <w:rPr/>
              <w:t xml:space="preserve">Netiketa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3.1</w:t>
            </w:r>
          </w:p>
        </w:tc>
        <w:tc>
          <w:tcPr>
            <w:tcW w:w="5000" w:type="dxa"/>
          </w:tcPr>
          <w:p>
            <w:pPr/>
            <w:r>
              <w:rPr/>
              <w:t xml:space="preserve">Tvorba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3.2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Integrace a přepracování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3.3</w:t>
            </w:r>
          </w:p>
        </w:tc>
        <w:tc>
          <w:tcPr>
            <w:tcW w:w="5000" w:type="dxa"/>
          </w:tcPr>
          <w:p>
            <w:pPr/>
            <w:r>
              <w:rPr/>
              <w:t xml:space="preserve">Autorská práva a licence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zařízení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osobních dat a soukromí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4.3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zdraví a duševní pohody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životního prostředí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5.1</w:t>
            </w:r>
          </w:p>
        </w:tc>
        <w:tc>
          <w:tcPr>
            <w:tcW w:w="5000" w:type="dxa"/>
          </w:tcPr>
          <w:p>
            <w:pPr/>
            <w:r>
              <w:rPr/>
              <w:t xml:space="preserve">Řešení technických problémů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5.2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potřeb a výběr vhodných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5.3</w:t>
            </w:r>
          </w:p>
        </w:tc>
        <w:tc>
          <w:tcPr>
            <w:tcW w:w="5000" w:type="dxa"/>
          </w:tcPr>
          <w:p>
            <w:pPr/>
            <w:r>
              <w:rPr/>
              <w:t xml:space="preserve">Kreativní využívání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5.4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nedostatků v digitálních kompetencích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https://nsp.cz/downloads/Priloha_c15_manualu.pdf</w:t>
      </w:r>
    </w:p>
    <w:p/>
    <w:p>
      <w:pPr>
        <w:pStyle w:val="Heading3"/>
      </w:pPr>
      <w:bookmarkStart w:id="17" w:name="_Toc17"/>
      <w:r>
        <w:t>Měkké kompetence</w:t>
      </w:r>
      <w:bookmarkEnd w:id="17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0-5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celoživotnímu vzdělávání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flexibilitě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kreativitě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zvládání stresu a zátěže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efektivní komunikaci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kooperaci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orientaci na zákazníka a uspokojování zákaznických potřeb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ovlivňování a rozvíjení ostatních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2.5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sebepoznání a porozumění druhým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2.6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vedení lidí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analytickému myšlení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koncepčnímu myšlení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objevování a orientaci v informacích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aktivnímu přístupu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plánování a organizování práce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podnikavosti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řešení problémů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4.5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samostatnosti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4.6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výkonnosti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https://nsp.cz/downloads/Priloha_c9_manualu.pdf</w:t>
      </w:r>
    </w:p>
    <w:p/>
    <w:p>
      <w:pPr>
        <w:pStyle w:val="Heading2"/>
      </w:pPr>
      <w:bookmarkStart w:id="18" w:name="_Toc18"/>
      <w:r>
        <w:t>Zdravotní podmínky</w:t>
      </w:r>
      <w:bookmarkEnd w:id="18"/>
    </w:p>
    <w:p>
      <w:pPr>
        <w:pStyle w:val="Heading3"/>
      </w:pPr>
      <w:bookmarkStart w:id="19" w:name="_Toc19"/>
      <w:r>
        <w:t>Onemocnění omezující výkon povolání / specializace povolání.</w:t>
      </w:r>
      <w:bookmarkEnd w:id="19"/>
    </w:p>
    <w:p>
      <w:pPr>
        <w:numPr>
          <w:ilvl w:val="0"/>
          <w:numId w:val="5"/>
        </w:numPr>
      </w:pPr>
      <w:r>
        <w:rPr/>
        <w:t xml:space="preserve">Prognosticky závažné imunodeficitní stavy</w:t>
      </w:r>
    </w:p>
    <w:p>
      <w:pPr>
        <w:numPr>
          <w:ilvl w:val="0"/>
          <w:numId w:val="5"/>
        </w:numPr>
      </w:pPr>
      <w:r>
        <w:rPr/>
        <w:t xml:space="preserve">Stavy po poškození ionizujícím zářením</w:t>
      </w:r>
    </w:p>
    <w:p>
      <w:pPr>
        <w:numPr>
          <w:ilvl w:val="0"/>
          <w:numId w:val="5"/>
        </w:numPr>
      </w:pPr>
      <w:r>
        <w:rPr/>
        <w:t xml:space="preserve">Poruchy termoregulace</w:t>
      </w:r>
    </w:p>
    <w:p>
      <w:pPr>
        <w:numPr>
          <w:ilvl w:val="0"/>
          <w:numId w:val="5"/>
        </w:numPr>
      </w:pPr>
      <w:r>
        <w:rPr/>
        <w:t xml:space="preserve">Alergická onemocnění</w:t>
      </w:r>
    </w:p>
    <w:p>
      <w:pPr>
        <w:numPr>
          <w:ilvl w:val="0"/>
          <w:numId w:val="5"/>
        </w:numPr>
      </w:pPr>
      <w:r>
        <w:rPr/>
        <w:t xml:space="preserve">Duševní poruchy a poruchy chování</w:t>
      </w:r>
    </w:p>
    <w:p>
      <w:pPr>
        <w:numPr>
          <w:ilvl w:val="0"/>
          <w:numId w:val="5"/>
        </w:numPr>
      </w:pPr>
      <w:r>
        <w:rPr/>
        <w:t xml:space="preserve">Závažné stavy po úrazech či operacích pohybového systému</w:t>
      </w:r>
    </w:p>
    <w:p>
      <w:pPr>
        <w:pStyle w:val="Heading3"/>
      </w:pPr>
      <w:bookmarkStart w:id="20" w:name="_Toc20"/>
      <w:r>
        <w:t>Onemocnění vylučující výkon povolání / specializace povolání.e</w:t>
      </w:r>
      <w:bookmarkEnd w:id="20"/>
    </w:p>
    <w:p>
      <w:pPr>
        <w:numPr>
          <w:ilvl w:val="0"/>
          <w:numId w:val="5"/>
        </w:numPr>
      </w:pPr>
      <w:r>
        <w:rPr/>
        <w:t xml:space="preserve">Osoby s kardiostimulátorem</w:t>
      </w:r>
    </w:p>
    <w:p>
      <w:pPr>
        <w:numPr>
          <w:ilvl w:val="0"/>
          <w:numId w:val="5"/>
        </w:numPr>
      </w:pPr>
      <w:r>
        <w:rPr/>
        <w:t xml:space="preserve">Záchvatovité a kolapsové stavy</w:t>
      </w:r>
    </w:p>
    <w:p>
      <w:pPr>
        <w:numPr>
          <w:ilvl w:val="0"/>
          <w:numId w:val="5"/>
        </w:numPr>
      </w:pPr>
      <w:r>
        <w:rPr/>
        <w:t xml:space="preserve">Onemocnění oběhové soustavy</w:t>
      </w:r>
    </w:p>
    <w:p>
      <w:pPr>
        <w:numPr>
          <w:ilvl w:val="0"/>
          <w:numId w:val="5"/>
        </w:numPr>
      </w:pPr>
      <w:r>
        <w:rPr/>
        <w:t xml:space="preserve">Závažná onemocnění dýchacích cest a plic</w:t>
      </w:r>
    </w:p>
    <w:p>
      <w:pPr>
        <w:numPr>
          <w:ilvl w:val="0"/>
          <w:numId w:val="5"/>
        </w:numPr>
      </w:pPr>
      <w:r>
        <w:rPr/>
        <w:t xml:space="preserve">Závažná onemocnění ledvin, močových cest</w:t>
      </w:r>
    </w:p>
    <w:p>
      <w:pPr>
        <w:numPr>
          <w:ilvl w:val="0"/>
          <w:numId w:val="5"/>
        </w:numPr>
      </w:pPr>
      <w:r>
        <w:rPr/>
        <w:t xml:space="preserve">Závažná degenerativní a zánětlivá onemocnění pohybového systému</w:t>
      </w:r>
    </w:p>
    <w:p>
      <w:pPr>
        <w:numPr>
          <w:ilvl w:val="0"/>
          <w:numId w:val="5"/>
        </w:numPr>
      </w:pPr>
      <w:r>
        <w:rPr/>
        <w:t xml:space="preserve">Závažná chronická onemocnění kůže a spojivek</w:t>
      </w:r>
    </w:p>
    <w:p>
      <w:pPr>
        <w:numPr>
          <w:ilvl w:val="0"/>
          <w:numId w:val="5"/>
        </w:numPr>
      </w:pPr>
      <w:r>
        <w:rPr/>
        <w:t xml:space="preserve">Závažná orgánová onemocnění podle toxikologických vlastností látek</w:t>
      </w:r>
    </w:p>
    <w:p>
      <w:pPr>
        <w:numPr>
          <w:ilvl w:val="0"/>
          <w:numId w:val="5"/>
        </w:numPr>
      </w:pPr>
      <w:r>
        <w:rPr/>
        <w:t xml:space="preserve">Chronická onemocnění jater</w:t>
      </w:r>
    </w:p>
    <w:p>
      <w:pPr>
        <w:numPr>
          <w:ilvl w:val="0"/>
          <w:numId w:val="5"/>
        </w:numPr>
      </w:pPr>
      <w:r>
        <w:rPr/>
        <w:t xml:space="preserve">Závažné poruchy krvetvorby a krvácivé stavy</w:t>
      </w:r>
    </w:p>
    <w:p>
      <w:pPr>
        <w:numPr>
          <w:ilvl w:val="0"/>
          <w:numId w:val="5"/>
        </w:numPr>
      </w:pPr>
      <w:r>
        <w:rPr/>
        <w:t xml:space="preserve">Onemocnění pohybového a nervového systému, omezující jemnou motoriku, koordinaci pohybů a svalovou sílu</w:t>
      </w:r>
    </w:p>
    <w:p>
      <w:pPr>
        <w:numPr>
          <w:ilvl w:val="0"/>
          <w:numId w:val="5"/>
        </w:numPr>
      </w:pPr>
      <w:r>
        <w:rPr/>
        <w:t xml:space="preserve">Drogová závislost v anamnéze</w:t>
      </w:r>
    </w:p>
    <w:p>
      <w:pPr>
        <w:numPr>
          <w:ilvl w:val="0"/>
          <w:numId w:val="5"/>
        </w:numPr>
      </w:pPr>
      <w:r>
        <w:rPr/>
        <w:t xml:space="preserve">Závažná nervová onemocnění a psychosomatická onemocnění</w:t>
      </w:r>
    </w:p>
    <w:p>
      <w:pPr/>
      <w:r>
        <w:rPr>
          <w:sz w:val="16"/>
          <w:szCs w:val="16"/>
          <w:i w:val="1"/>
          <w:iCs w:val="1"/>
        </w:rPr>
        <w:t xml:space="preserve">Přesné posouzení zdravotního stavu s následným doporučením nebo nedoporučením výkonu této pozice je možné pouze po konzultaci s lékařem.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5">
    <w:nsid w:val="93056A9F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after="120"/>
    </w:pPr>
    <w:rPr>
      <w:sz w:val="40"/>
      <w:szCs w:val="40"/>
      <w:b w:val="1"/>
      <w:bCs w:val="1"/>
    </w:rPr>
  </w:style>
  <w:style w:type="paragraph" w:styleId="Heading2">
    <w:link w:val="Heading2Char"/>
    <w:name w:val="heading 2"/>
    <w:basedOn w:val="Normal"/>
    <w:pPr>
      <w:spacing w:after="80"/>
    </w:pPr>
    <w:rPr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spacing w:after="60"/>
    </w:pPr>
    <w:rPr>
      <w:sz w:val="24"/>
      <w:szCs w:val="24"/>
      <w:b w:val="1"/>
      <w:bCs w:val="1"/>
    </w:rPr>
  </w:style>
  <w:style w:type="paragraph" w:styleId="Heading4">
    <w:link w:val="Heading4Char"/>
    <w:name w:val="heading 4"/>
    <w:basedOn w:val="Normal"/>
    <w:pPr>
      <w:spacing w:after="6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FDV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NSP.CZ</dc:creator>
  <dc:title>Instruktor potápění</dc:title>
  <dc:description>Instruktor potápění provádí v souladu s českými technickými normami teoretické školení a praktický výcvik v rekreačním přístrojovém potápění všech kvalifikačních stupňů potápěče.</dc:description>
  <dc:subject/>
  <cp:keywords/>
  <cp:category>Povolání</cp:category>
  <cp:lastModifiedBy/>
  <dcterms:created xsi:type="dcterms:W3CDTF">2017-11-22T09:40:11+01:00</dcterms:created>
  <dcterms:modified xsi:type="dcterms:W3CDTF">2024-08-21T17:10:09+02:00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