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Metalograf</w:t>
      </w:r>
      <w:bookmarkEnd w:id="1"/>
    </w:p>
    <w:p>
      <w:pPr/>
      <w:r>
        <w:rPr/>
        <w:t xml:space="preserve">Metalograf zkoumá a analyzuje chemické složení materiálů, vnitřní stavbu kovů a slitin, strukturální složky a vypracovává metalografické analýzy jednotlivých fází (velikost, tvar, uspořádání, množství, druh, defekty) vzorků a objasňuje příčiny materiálových defektů a technologických problémů při výrobě kovových materiálů.</w:t>
      </w:r>
    </w:p>
    <w:p/>
    <w:tbl>
      <w:tblGrid>
        <w:gridCol w:w="3000" w:type="dxa"/>
        <w:gridCol w:w="6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/>
            <w:r>
              <w:rPr>
                <w:b w:val="1"/>
                <w:bCs w:val="1"/>
              </w:rPr>
              <w:t xml:space="preserve">Odborný směr:</w:t>
            </w:r>
          </w:p>
        </w:tc>
        <w:tc>
          <w:tcPr>
            <w:tcW w:w="6000" w:type="dxa"/>
          </w:tcPr>
          <w:p>
            <w:pPr/>
            <w:r>
              <w:rPr/>
              <w:t xml:space="preserve">Hutnictví a slévárenství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Odborný podsměr:</w:t>
            </w:r>
          </w:p>
        </w:tc>
        <w:tc>
          <w:tcPr/>
          <w:p>
            <w:pPr/>
            <w:r>
              <w:rPr/>
              <w:t xml:space="preserve">zpracování kovů a jejich slitin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Kvalifikační úroveň:</w:t>
            </w:r>
          </w:p>
        </w:tc>
        <w:tc>
          <w:tcPr/>
          <w:p>
            <w:pPr/>
            <w:r>
              <w:rPr/>
              <w:t xml:space="preserve">Střední vzdělání s maturitní zkouškou; Střední vzdělání s výučním listem i maturitní zkouškou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Alternativní názvy:</w:t>
            </w:r>
          </w:p>
        </w:tc>
        <w:tc>
          <w:tcPr/>
          <w:p>
            <w:pPr/>
            <w:r>
              <w:rPr/>
              <w:t xml:space="preserve">Metallograph, Metallographer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Regulovaná jednotka práce:</w:t>
            </w:r>
          </w:p>
        </w:tc>
        <w:tc>
          <w:tcPr/>
          <w:p>
            <w:pPr/>
            <w:r>
              <w:rPr/>
              <w:t xml:space="preserve">ne</w:t>
            </w:r>
          </w:p>
        </w:tc>
      </w:tr>
    </w:tbl>
    <w:p/>
    <w:p>
      <w:pPr>
        <w:pStyle w:val="Heading2"/>
      </w:pPr>
      <w:bookmarkStart w:id="2" w:name="_Toc2"/>
      <w:r>
        <w:t>Pracovní činnosti</w:t>
      </w:r>
      <w:bookmarkEnd w:id="2"/>
    </w:p>
    <w:p>
      <w:pPr>
        <w:numPr>
          <w:ilvl w:val="0"/>
          <w:numId w:val="5"/>
        </w:numPr>
      </w:pPr>
      <w:r>
        <w:rPr/>
        <w:t xml:space="preserve">Volba technických a technologických podmínek a parametrů pro obsluhu a řízení strojů, přístrojů a zařízení v laboratorním provozu.</w:t>
      </w:r>
    </w:p>
    <w:p>
      <w:pPr>
        <w:numPr>
          <w:ilvl w:val="0"/>
          <w:numId w:val="5"/>
        </w:numPr>
      </w:pPr>
      <w:r>
        <w:rPr/>
        <w:t xml:space="preserve">Příprava a odebírání vzorků pro metalografické šetření.</w:t>
      </w:r>
    </w:p>
    <w:p>
      <w:pPr>
        <w:numPr>
          <w:ilvl w:val="0"/>
          <w:numId w:val="5"/>
        </w:numPr>
      </w:pPr>
      <w:r>
        <w:rPr/>
        <w:t xml:space="preserve">Analýza a měření tvrdosti, mikrotvrdosti, tvaru a chemických veličin ve stavbě kovů a slitin.</w:t>
      </w:r>
    </w:p>
    <w:p>
      <w:pPr>
        <w:numPr>
          <w:ilvl w:val="0"/>
          <w:numId w:val="5"/>
        </w:numPr>
      </w:pPr>
      <w:r>
        <w:rPr/>
        <w:t xml:space="preserve">Provádění kvalitativních zkoušek surovin, materiálu, polotovarů a výrobků v hutní, kovárenské a slévárenské výrobě.</w:t>
      </w:r>
    </w:p>
    <w:p>
      <w:pPr>
        <w:numPr>
          <w:ilvl w:val="0"/>
          <w:numId w:val="5"/>
        </w:numPr>
      </w:pPr>
      <w:r>
        <w:rPr/>
        <w:t xml:space="preserve">Sledování a provádění průběžné a mezioperační kontroly vlastnosti materiálu při jeho výrobě.</w:t>
      </w:r>
    </w:p>
    <w:p>
      <w:pPr>
        <w:numPr>
          <w:ilvl w:val="0"/>
          <w:numId w:val="5"/>
        </w:numPr>
      </w:pPr>
      <w:r>
        <w:rPr/>
        <w:t xml:space="preserve">Metalografické zkoumání mikrostruktury pomocí světelné mikroskopie.</w:t>
      </w:r>
    </w:p>
    <w:p>
      <w:pPr>
        <w:numPr>
          <w:ilvl w:val="0"/>
          <w:numId w:val="5"/>
        </w:numPr>
      </w:pPr>
      <w:r>
        <w:rPr/>
        <w:t xml:space="preserve">Stanovování mechanických vlastností makrostruktury a mikrostruktury materiálů.</w:t>
      </w:r>
    </w:p>
    <w:p>
      <w:pPr>
        <w:numPr>
          <w:ilvl w:val="0"/>
          <w:numId w:val="5"/>
        </w:numPr>
      </w:pPr>
      <w:r>
        <w:rPr/>
        <w:t xml:space="preserve">Analyzování a stanovování příčin vad materiálu nevyhovujících výrobků.</w:t>
      </w:r>
    </w:p>
    <w:p>
      <w:pPr>
        <w:numPr>
          <w:ilvl w:val="0"/>
          <w:numId w:val="5"/>
        </w:numPr>
      </w:pPr>
      <w:r>
        <w:rPr/>
        <w:t xml:space="preserve">Vyhodnocování výsledků analýz a mechanických testů, na základě výsledků analýz a testů.</w:t>
      </w:r>
    </w:p>
    <w:p>
      <w:pPr>
        <w:numPr>
          <w:ilvl w:val="0"/>
          <w:numId w:val="5"/>
        </w:numPr>
      </w:pPr>
      <w:r>
        <w:rPr/>
        <w:t xml:space="preserve">Evidence o průběhu a výsledků provedených analýz.</w:t>
      </w:r>
    </w:p>
    <w:p>
      <w:pPr>
        <w:numPr>
          <w:ilvl w:val="0"/>
          <w:numId w:val="5"/>
        </w:numPr>
      </w:pPr>
      <w:r>
        <w:rPr/>
        <w:t xml:space="preserve">Spolupráce s odbornými útvary organizace.</w:t>
      </w:r>
    </w:p>
    <w:p>
      <w:pPr>
        <w:numPr>
          <w:ilvl w:val="0"/>
          <w:numId w:val="5"/>
        </w:numPr>
      </w:pPr>
      <w:r>
        <w:rPr/>
        <w:t xml:space="preserve">Vypracovávání protokolů o metalografickém zkoumání a jejich archivace.</w:t>
      </w:r>
    </w:p>
    <w:p>
      <w:pPr>
        <w:numPr>
          <w:ilvl w:val="0"/>
          <w:numId w:val="5"/>
        </w:numPr>
      </w:pPr>
      <w:r>
        <w:rPr/>
        <w:t xml:space="preserve">Dodržování kvality pro materiálové testování v laboratoři.</w:t>
      </w:r>
    </w:p>
    <w:p>
      <w:pPr>
        <w:numPr>
          <w:ilvl w:val="0"/>
          <w:numId w:val="5"/>
        </w:numPr>
      </w:pPr>
      <w:r>
        <w:rPr/>
        <w:t xml:space="preserve">Zajišťování archivace vzorků.</w:t>
      </w:r>
    </w:p>
    <w:p>
      <w:pPr>
        <w:numPr>
          <w:ilvl w:val="0"/>
          <w:numId w:val="5"/>
        </w:numPr>
      </w:pPr>
      <w:r>
        <w:rPr/>
        <w:t xml:space="preserve">Zhotovování fotografické dokumentace makrostruktury a mikrostruktury materiálů.</w:t>
      </w:r>
    </w:p>
    <w:p/>
    <w:p>
      <w:pPr>
        <w:pStyle w:val="Heading2"/>
      </w:pPr>
      <w:bookmarkStart w:id="3" w:name="_Toc3"/>
      <w:r>
        <w:t>CZ-ISCO</w:t>
      </w:r>
      <w:bookmarkEnd w:id="3"/>
    </w:p>
    <w:p>
      <w:pPr>
        <w:numPr>
          <w:ilvl w:val="0"/>
          <w:numId w:val="5"/>
        </w:numPr>
      </w:pPr>
      <w:r>
        <w:rPr/>
        <w:t xml:space="preserve">Ostatní důlní a hutní technici a pracovníci v příbuzných oborech</w:t>
      </w:r>
    </w:p>
    <w:p>
      <w:pPr>
        <w:numPr>
          <w:ilvl w:val="0"/>
          <w:numId w:val="5"/>
        </w:numPr>
      </w:pPr>
      <w:r>
        <w:rPr/>
        <w:t xml:space="preserve">Důlní a hutní technici a pracovníci v příbuzných oborech</w:t>
      </w:r>
    </w:p>
    <w:p/>
    <w:p>
      <w:pPr>
        <w:pStyle w:val="Heading3"/>
      </w:pPr>
      <w:bookmarkStart w:id="4" w:name="_Toc4"/>
      <w:r>
        <w:t>Hrubé měsíční mzdy podle krajů v roce 2025</w:t>
      </w:r>
      <w:bookmarkEnd w:id="4"/>
    </w:p>
    <w:p>
      <w:pPr>
        <w:pStyle w:val="Heading4"/>
      </w:pPr>
      <w:bookmarkStart w:id="5" w:name="_Toc5"/>
      <w:r>
        <w:t>Důlní a hutní technici a pracovníci v příbuzných oborech (CZ-ISCO 3117)</w:t>
      </w:r>
      <w:bookmarkEnd w:id="5"/>
    </w:p>
    <w:tbl>
      <w:tblGrid>
        <w:gridCol w:w="2400" w:type="dxa"/>
        <w:gridCol w:w="1100" w:type="dxa"/>
        <w:gridCol w:w="1100" w:type="dxa"/>
        <w:gridCol w:w="1100" w:type="dxa"/>
        <w:gridCol w:w="1100" w:type="dxa"/>
        <w:gridCol w:w="1100" w:type="dxa"/>
        <w:gridCol w:w="11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400" w:type="dxa"/>
          </w:tcPr>
          <w:p/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2400" w:type="dxa"/>
          </w:tcPr>
          <w:p>
            <w:pPr/>
            <w:r>
              <w:rPr>
                <w:b w:val="1"/>
                <w:bCs w:val="1"/>
              </w:rPr>
              <w:t xml:space="preserve">Kraj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Středočeský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35 190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51 642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62 711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Karlovarský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44 537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57 806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67 157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Ústecký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46 056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63 283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76 692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Kraj Vysočina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30 712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40 614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58 381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Jihomoravský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42 773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65 868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95 456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Moravskoslezský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41 026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54 353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77 593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</w:tbl>
    <w:p/>
    <w:p>
      <w:pPr>
        <w:pStyle w:val="Heading3"/>
      </w:pPr>
      <w:bookmarkStart w:id="6" w:name="_Toc6"/>
      <w:r>
        <w:t>Hrubé měsíční mzdy v roce 2025 celkem</w:t>
      </w:r>
      <w:bookmarkEnd w:id="6"/>
    </w:p>
    <w:tbl>
      <w:tblGrid>
        <w:gridCol w:w="1000" w:type="dxa"/>
        <w:gridCol w:w="2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  <w:gridSpan w:val="2"/>
          </w:tcPr>
          <w:p/>
        </w:tc>
        <w:tc>
          <w:tcPr>
            <w:tcW w:w="6000" w:type="dxa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 za ČR celkem</w:t>
            </w:r>
          </w:p>
        </w:tc>
      </w:tr>
      <w:tr>
        <w:trPr/>
        <w:tc>
          <w:tcPr>
            <w:tcW w:w="1000" w:type="dxa"/>
          </w:tcPr>
          <w:p>
            <w:pPr/>
            <w:r>
              <w:rPr>
                <w:b w:val="1"/>
                <w:bCs w:val="1"/>
              </w:rPr>
              <w:t xml:space="preserve">CZ-ISCO</w:t>
            </w:r>
          </w:p>
        </w:tc>
        <w:tc>
          <w:tcPr>
            <w:tcW w:w="2000" w:type="dxa"/>
          </w:tcPr>
          <w:p/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3117</w:t>
            </w:r>
          </w:p>
        </w:tc>
        <w:tc>
          <w:tcPr>
            <w:tcW w:w="2000" w:type="dxa"/>
          </w:tcPr>
          <w:p>
            <w:pPr/>
            <w:r>
              <w:rPr/>
              <w:t xml:space="preserve">Důlní a hutní technici a pracovníci v příbuzných oborech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55 809 Kč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31179</w:t>
            </w:r>
          </w:p>
        </w:tc>
        <w:tc>
          <w:tcPr>
            <w:tcW w:w="2000" w:type="dxa"/>
          </w:tcPr>
          <w:p>
            <w:pPr/>
            <w:r>
              <w:rPr/>
              <w:t xml:space="preserve">Ostatní důlní a hutní technici a pracovníci v příbuzných oborech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67 574 Kč</w:t>
            </w:r>
          </w:p>
        </w:tc>
      </w:tr>
    </w:tbl>
    <w:p/>
    <w:p>
      <w:pPr>
        <w:pStyle w:val="Heading2"/>
      </w:pPr>
      <w:bookmarkStart w:id="7" w:name="_Toc7"/>
      <w:r>
        <w:t>ESCO</w:t>
      </w:r>
      <w:bookmarkEnd w:id="7"/>
    </w:p>
    <w:tbl>
      <w:tblGrid>
        <w:gridCol w:w="3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 podskupiny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 podskupiny v ESCO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URL - podskupiny v ESCO</w:t>
            </w:r>
          </w:p>
        </w:tc>
      </w:tr>
      <w:tr>
        <w:trPr/>
        <w:tc>
          <w:tcPr>
            <w:tcW w:w="3000" w:type="dxa"/>
          </w:tcPr>
          <w:p>
            <w:pPr/>
            <w:r>
              <w:rPr/>
              <w:t xml:space="preserve">3117</w:t>
            </w:r>
          </w:p>
        </w:tc>
        <w:tc>
          <w:tcPr>
            <w:tcW w:w="3000" w:type="dxa"/>
          </w:tcPr>
          <w:p>
            <w:pPr/>
            <w:r>
              <w:rPr/>
              <w:t xml:space="preserve">Důlní a hutní technici a pracovníci v příbuzných oborech</w:t>
            </w:r>
          </w:p>
        </w:tc>
        <w:tc>
          <w:tcPr>
            <w:tcW w:w="3000" w:type="dxa"/>
          </w:tcPr>
          <w:p>
            <w:pPr/>
            <w:r>
              <w:rPr/>
              <w:t xml:space="preserve">http://data.europa.eu/esco/isco/C3117</w:t>
            </w:r>
          </w:p>
        </w:tc>
      </w:tr>
    </w:tbl>
    <w:p/>
    <w:p/>
    <w:p/>
    <w:p>
      <w:pPr>
        <w:pStyle w:val="Heading2"/>
      </w:pPr>
      <w:bookmarkStart w:id="8" w:name="_Toc8"/>
      <w:r>
        <w:t>Pracovní podmínky</w:t>
      </w:r>
      <w:bookmarkEnd w:id="8"/>
    </w:p>
    <w:p>
      <w:pPr/>
      <w:r>
        <w:rPr/>
        <w:t xml:space="preserve">Rizikové faktory pracovních podmínek a vyskytující se druhy zátěže upravuje nařízení vlády č. 361/2007 Sb., kterým se stanoví podmínky ochrany zdraví při práci, zákon č. 258/2000 Sb., o ochraně veřejného zdraví a zákon č. 262/2006 Sb., zákoník práce. Vždy vyplývají z pracovních podmínek, které se vztahují ke konkrétnímu zaměstnavateli, tudíž se mohou u různých zaměstnavatelů lišit.</w:t>
      </w:r>
    </w:p>
    <w:p/>
    <w:p>
      <w:pPr/>
      <w:r>
        <w:rPr/>
        <w:t xml:space="preserve">Určení míry výskytu faktorů, které mohou ovlivnit zdraví při práci vychází z druhu práce vykonávané na pracovišti. Faktory se zařazují do čtyř kategorií dle míry zdravotního rizika a jeho vlivu na zdraví. O zařazení prací do třetí nebo čtvrté kategorie rozhoduje příslušný orgán ochrany veřejného zdraví.</w:t>
      </w:r>
    </w:p>
    <w:p/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1. Stupeň zátěže (minimální zdravotní riziko) - Faktor se při výkonu práce nevyskytuje nebo je zátěž faktorem minimální, vliv faktoru je ze zdravotního hlediska nevýznamný.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2. Stupeň zátěže (únosná míra zdravotního rizika) - Ze zdravotního hlediska je míra zátěže faktorem únosná, nepřekračuje limity stanovené předpisy, vliv faktoru je akceptovatelný pro zdravého člověka.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3. Stupeň zátěže (významná míra zdravotního rizika) - Úroveň zátěže překračuje stanovené limitní hodnoty expozice (zátěže), na pracovištích je nutná realizace náhradních technických a organizačních opatření, nelze vyloučit negativní vliv na zdraví pracovníků.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4. Stupeň zátěže (vysoká míra zdravotního rizika) - Úroveň zátěže vysoce překračuje stanovené limitní hodnoty expozice, na pracovištích musí být dodržován soubor preventivních opatření, častěji dochází k poškození zdraví.</w:t>
      </w:r>
    </w:p>
    <w:p/>
    <w:p/>
    <w:p>
      <w:pPr>
        <w:pStyle w:val="Heading2"/>
      </w:pPr>
      <w:bookmarkStart w:id="9" w:name="_Toc9"/>
      <w:r>
        <w:t>Kvalifikace k výkonu povolání</w:t>
      </w:r>
      <w:bookmarkEnd w:id="9"/>
    </w:p>
    <w:p>
      <w:pPr>
        <w:pStyle w:val="Heading3"/>
      </w:pPr>
      <w:bookmarkStart w:id="10" w:name="_Toc10"/>
      <w:r>
        <w:t>Školní vzdělání</w:t>
      </w:r>
      <w:bookmarkEnd w:id="10"/>
    </w:p>
    <w:p/>
    <w:p>
      <w:pPr>
        <w:pStyle w:val="Heading4"/>
      </w:pPr>
      <w:bookmarkStart w:id="11" w:name="_Toc11"/>
      <w:r>
        <w:t>Nejvhodnější školní přípravu poskytují obory:</w:t>
      </w:r>
      <w:bookmarkEnd w:id="11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(bez vyučení) v oboru slévárenská výroba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2144M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AKSO</w:t>
            </w:r>
          </w:p>
        </w:tc>
        <w:tc>
          <w:tcPr>
            <w:tcW w:w="5000" w:type="dxa"/>
          </w:tcPr>
          <w:p>
            <w:pPr/>
            <w:r>
              <w:rPr/>
              <w:t xml:space="preserve">Strojírenská metalurgie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2144M01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Strojírenská metalurgie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21-44-M/01</w:t>
            </w:r>
          </w:p>
        </w:tc>
      </w:tr>
    </w:tbl>
    <w:p/>
    <w:p>
      <w:pPr>
        <w:pStyle w:val="Heading4"/>
      </w:pPr>
      <w:bookmarkStart w:id="12" w:name="_Toc12"/>
      <w:r>
        <w:t>Vhodnou školní přípravu poskytují také obory:</w:t>
      </w:r>
      <w:bookmarkEnd w:id="12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(bez vyučení) v oboru aplikovaná chemie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2844M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Aplikovaná chemie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28-44-M/01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Hutnictví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21-43-M/01</w:t>
            </w:r>
          </w:p>
        </w:tc>
      </w:tr>
    </w:tbl>
    <w:p/>
    <w:p>
      <w:pPr>
        <w:pStyle w:val="Heading3"/>
      </w:pPr>
      <w:bookmarkStart w:id="13" w:name="_Toc13"/>
      <w:r>
        <w:t>Další vzdělání</w:t>
      </w:r>
      <w:bookmarkEnd w:id="13"/>
    </w:p>
    <w:p>
      <w:pPr>
        <w:pStyle w:val="Heading4"/>
      </w:pPr>
      <w:bookmarkStart w:id="14" w:name="_Toc14"/>
      <w:r>
        <w:t>Profesní kvalifikace</w:t>
      </w:r>
      <w:bookmarkEnd w:id="14"/>
    </w:p>
    <w:p>
      <w:pPr>
        <w:numPr>
          <w:ilvl w:val="0"/>
          <w:numId w:val="5"/>
        </w:numPr>
      </w:pPr>
      <w:r>
        <w:rPr/>
        <w:t xml:space="preserve">Metalograf/metalografka (21-077-M)</w:t>
      </w:r>
    </w:p>
    <w:p/>
    <w:p/>
    <w:p>
      <w:pPr>
        <w:pStyle w:val="Heading2"/>
      </w:pPr>
      <w:bookmarkStart w:id="15" w:name="_Toc15"/>
      <w:r>
        <w:t>Kompetenční požadavky</w:t>
      </w:r>
      <w:bookmarkEnd w:id="15"/>
    </w:p>
    <w:p>
      <w:pPr>
        <w:pStyle w:val="Heading3"/>
      </w:pPr>
      <w:bookmarkStart w:id="16" w:name="_Toc16"/>
      <w:r>
        <w:t>Odborné dovednosti</w:t>
      </w:r>
      <w:bookmarkEnd w:id="16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e71.D.3002</w:t>
            </w:r>
          </w:p>
        </w:tc>
        <w:tc>
          <w:tcPr>
            <w:tcW w:w="3000" w:type="dxa"/>
          </w:tcPr>
          <w:p>
            <w:pPr/>
            <w:r>
              <w:rPr/>
              <w:t xml:space="preserve">Volba technických a technologických podmínek a parametrů pro obsluhu a řízení strojů, přístrojů a zařízení v hutním, kovárenském a slévárenském provozu a laboratořích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e71.D.3997</w:t>
            </w:r>
          </w:p>
        </w:tc>
        <w:tc>
          <w:tcPr>
            <w:tcW w:w="3000" w:type="dxa"/>
          </w:tcPr>
          <w:p>
            <w:pPr/>
            <w:r>
              <w:rPr/>
              <w:t xml:space="preserve">Provádění odběrů vzorků pro metalografické šetření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e71.D.9026</w:t>
            </w:r>
          </w:p>
        </w:tc>
        <w:tc>
          <w:tcPr>
            <w:tcW w:w="3000" w:type="dxa"/>
          </w:tcPr>
          <w:p>
            <w:pPr/>
            <w:r>
              <w:rPr/>
              <w:t xml:space="preserve">Stanovování mechanických vlastností, druhu, množství materiálů a mikrostruktury materiálů pro výrobu nových výrobků hutní, kovárenské a slévárenské výroby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e71.A.1005</w:t>
            </w:r>
          </w:p>
        </w:tc>
        <w:tc>
          <w:tcPr>
            <w:tcW w:w="3000" w:type="dxa"/>
          </w:tcPr>
          <w:p>
            <w:pPr/>
            <w:r>
              <w:rPr/>
              <w:t xml:space="preserve">Příprava vzorků pro metalografické strukturní šetření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e71.D.8915</w:t>
            </w:r>
          </w:p>
        </w:tc>
        <w:tc>
          <w:tcPr>
            <w:tcW w:w="3000" w:type="dxa"/>
          </w:tcPr>
          <w:p>
            <w:pPr/>
            <w:r>
              <w:rPr/>
              <w:t xml:space="preserve">Vedení předepsané evidence a protokolů o provedených pracích a zkouškách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e71.D.1036</w:t>
            </w:r>
          </w:p>
        </w:tc>
        <w:tc>
          <w:tcPr>
            <w:tcW w:w="3000" w:type="dxa"/>
          </w:tcPr>
          <w:p>
            <w:pPr/>
            <w:r>
              <w:rPr/>
              <w:t xml:space="preserve">Provádění kvalitativního a kvantitativního metalografického zkoumání mikrostruktury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e71.D.1038</w:t>
            </w:r>
          </w:p>
        </w:tc>
        <w:tc>
          <w:tcPr>
            <w:tcW w:w="3000" w:type="dxa"/>
          </w:tcPr>
          <w:p>
            <w:pPr/>
            <w:r>
              <w:rPr/>
              <w:t xml:space="preserve">Vyhodnocování strukturních vad zjištěných metalografickou analýzou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e71.D.3995</w:t>
            </w:r>
          </w:p>
        </w:tc>
        <w:tc>
          <w:tcPr>
            <w:tcW w:w="3000" w:type="dxa"/>
          </w:tcPr>
          <w:p>
            <w:pPr/>
            <w:r>
              <w:rPr/>
              <w:t xml:space="preserve">Posuzování metalografických struktur a snímků mikrostruktur kovových materiálů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j13.D.4237</w:t>
            </w:r>
          </w:p>
        </w:tc>
        <w:tc>
          <w:tcPr>
            <w:tcW w:w="3000" w:type="dxa"/>
          </w:tcPr>
          <w:p>
            <w:pPr/>
            <w:r>
              <w:rPr/>
              <w:t xml:space="preserve">Provádění metalografických výbrusů a jejich vyhodnocení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e71.B.7001</w:t>
            </w:r>
          </w:p>
        </w:tc>
        <w:tc>
          <w:tcPr>
            <w:tcW w:w="3000" w:type="dxa"/>
          </w:tcPr>
          <w:p>
            <w:pPr/>
            <w:r>
              <w:rPr/>
              <w:t xml:space="preserve">Obsluha a seřizování laboratorní techniky v hutnictví, kovárenství a slévárenství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e71.D.3998</w:t>
            </w:r>
          </w:p>
        </w:tc>
        <w:tc>
          <w:tcPr>
            <w:tcW w:w="3000" w:type="dxa"/>
          </w:tcPr>
          <w:p>
            <w:pPr/>
            <w:r>
              <w:rPr/>
              <w:t xml:space="preserve">Provádění kvalitativního a kvantitativního metalografického zkoumání makrostruktury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e71.D.1052</w:t>
            </w:r>
          </w:p>
        </w:tc>
        <w:tc>
          <w:tcPr>
            <w:tcW w:w="3000" w:type="dxa"/>
          </w:tcPr>
          <w:p>
            <w:pPr/>
            <w:r>
              <w:rPr/>
              <w:t xml:space="preserve">Vyhodnocování struktury železných a neželezných kovů a jejich slitin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7" w:name="_Toc17"/>
      <w:r>
        <w:t>Odborné znalosti</w:t>
      </w:r>
      <w:bookmarkEnd w:id="17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e52._.0002</w:t>
            </w:r>
          </w:p>
        </w:tc>
        <w:tc>
          <w:tcPr>
            <w:tcW w:w="3000" w:type="dxa"/>
          </w:tcPr>
          <w:p>
            <w:pPr/>
            <w:r>
              <w:rPr/>
              <w:t xml:space="preserve">laboratorní technika a laboratorní postupy v chemii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j13._.0016</w:t>
            </w:r>
          </w:p>
        </w:tc>
        <w:tc>
          <w:tcPr>
            <w:tcW w:w="3000" w:type="dxa"/>
          </w:tcPr>
          <w:p>
            <w:pPr/>
            <w:r>
              <w:rPr/>
              <w:t xml:space="preserve">metalografie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j13._.0023</w:t>
            </w:r>
          </w:p>
        </w:tc>
        <w:tc>
          <w:tcPr>
            <w:tcW w:w="3000" w:type="dxa"/>
          </w:tcPr>
          <w:p>
            <w:pPr/>
            <w:r>
              <w:rPr/>
              <w:t xml:space="preserve">defektoskopie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e71._.0003</w:t>
            </w:r>
          </w:p>
        </w:tc>
        <w:tc>
          <w:tcPr>
            <w:tcW w:w="3000" w:type="dxa"/>
          </w:tcPr>
          <w:p>
            <w:pPr/>
            <w:r>
              <w:rPr/>
              <w:t xml:space="preserve">kovové materiály a slitiny a jejich vlastnosti (např. tvrdost, pružnost, houževnatost aj.)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e71._.0054</w:t>
            </w:r>
          </w:p>
        </w:tc>
        <w:tc>
          <w:tcPr>
            <w:tcW w:w="3000" w:type="dxa"/>
          </w:tcPr>
          <w:p>
            <w:pPr/>
            <w:r>
              <w:rPr/>
              <w:t xml:space="preserve">technologie tepelného zpracování kovů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e71._.0021</w:t>
            </w:r>
          </w:p>
        </w:tc>
        <w:tc>
          <w:tcPr>
            <w:tcW w:w="3000" w:type="dxa"/>
          </w:tcPr>
          <w:p>
            <w:pPr/>
            <w:r>
              <w:rPr/>
              <w:t xml:space="preserve">technologie tavby kovů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e71._.0037</w:t>
            </w:r>
          </w:p>
        </w:tc>
        <w:tc>
          <w:tcPr>
            <w:tcW w:w="3000" w:type="dxa"/>
          </w:tcPr>
          <w:p>
            <w:pPr/>
            <w:r>
              <w:rPr/>
              <w:t xml:space="preserve">technologie práškové metalurgie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e71._.0090</w:t>
            </w:r>
          </w:p>
        </w:tc>
        <w:tc>
          <w:tcPr>
            <w:tcW w:w="3000" w:type="dxa"/>
          </w:tcPr>
          <w:p>
            <w:pPr/>
            <w:r>
              <w:rPr/>
              <w:t xml:space="preserve">vady odlitků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e71._.0061</w:t>
            </w:r>
          </w:p>
        </w:tc>
        <w:tc>
          <w:tcPr>
            <w:tcW w:w="3000" w:type="dxa"/>
          </w:tcPr>
          <w:p>
            <w:pPr/>
            <w:r>
              <w:rPr/>
              <w:t xml:space="preserve">systémy a standardy jakosti a kvality ve strojírenství a kovovýrobě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l24._.0018</w:t>
            </w:r>
          </w:p>
        </w:tc>
        <w:tc>
          <w:tcPr>
            <w:tcW w:w="3000" w:type="dxa"/>
          </w:tcPr>
          <w:p>
            <w:pPr/>
            <w:r>
              <w:rPr/>
              <w:t xml:space="preserve">bezpečnost práce a požární ochrana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8" w:name="_Toc18"/>
      <w:r>
        <w:t>Digitální kompetence</w:t>
      </w:r>
      <w:bookmarkEnd w:id="18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Prohlížení, vyhledávání a filtrování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5.3</w:t>
            </w:r>
          </w:p>
        </w:tc>
        <w:tc>
          <w:tcPr>
            <w:tcW w:w="5000" w:type="dxa"/>
          </w:tcPr>
          <w:p>
            <w:pPr/>
            <w:r>
              <w:rPr/>
              <w:t xml:space="preserve">Kreativní využívání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5.2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potřeb a výběr vhodných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5.1</w:t>
            </w:r>
          </w:p>
        </w:tc>
        <w:tc>
          <w:tcPr>
            <w:tcW w:w="5000" w:type="dxa"/>
          </w:tcPr>
          <w:p>
            <w:pPr/>
            <w:r>
              <w:rPr/>
              <w:t xml:space="preserve">Řešení technických problémů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životního prostředí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4.3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zdraví a duševní pohody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osobních dat a soukromí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zařízení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Autorská práva a licence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3.2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Integrace a přepracování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3.1</w:t>
            </w:r>
          </w:p>
        </w:tc>
        <w:tc>
          <w:tcPr>
            <w:tcW w:w="5000" w:type="dxa"/>
          </w:tcPr>
          <w:p>
            <w:pPr/>
            <w:r>
              <w:rPr/>
              <w:t xml:space="preserve">Tvorba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2.5</w:t>
            </w:r>
          </w:p>
        </w:tc>
        <w:tc>
          <w:tcPr>
            <w:tcW w:w="5000" w:type="dxa"/>
          </w:tcPr>
          <w:p>
            <w:pPr/>
            <w:r>
              <w:rPr/>
              <w:t xml:space="preserve">Netiketa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Spolupráce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Sdílení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Interakce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Správa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Hodnocení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5.4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nedostatků v digitálních kompetencích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https://nsp.cz/downloads/Priloha_c15_manualu.pdf</w:t>
      </w:r>
    </w:p>
    <w:p/>
    <w:p>
      <w:pPr>
        <w:pStyle w:val="Heading3"/>
      </w:pPr>
      <w:bookmarkStart w:id="19" w:name="_Toc19"/>
      <w:r>
        <w:t>Měkké kompetence</w:t>
      </w:r>
      <w:bookmarkEnd w:id="19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0-5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celoživotnímu vzdělávání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4.5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samostatnosti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řešení problémů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plánování a organizování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aktivnímu přístupu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objevování a orientaci v informacích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koncepčnímu myšlení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analytickému myšlení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2.5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sebepoznání a porozumění druhým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ovlivňování a rozvíjení ostatních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orientaci na zákazníka a uspokojování zákaznických potřeb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kooperaci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efektivní komunikaci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zvládání stresu a zátěže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kreativitě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flexibilitě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4.6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výkonnosti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https://nsp.cz/downloads/Priloha_c9_manualu.pdf</w:t>
      </w:r>
    </w:p>
    <w:p/>
    <w:p>
      <w:pPr>
        <w:pStyle w:val="Heading2"/>
      </w:pPr>
      <w:bookmarkStart w:id="20" w:name="_Toc20"/>
      <w:r>
        <w:t>Zdravotní podmínky</w:t>
      </w:r>
      <w:bookmarkEnd w:id="20"/>
    </w:p>
    <w:p>
      <w:pPr>
        <w:pStyle w:val="Heading3"/>
      </w:pPr>
      <w:bookmarkStart w:id="21" w:name="_Toc21"/>
      <w:r>
        <w:t>Onemocnění omezující výkon povolání / specializace povolání.</w:t>
      </w:r>
      <w:bookmarkEnd w:id="21"/>
    </w:p>
    <w:p>
      <w:pPr>
        <w:numPr>
          <w:ilvl w:val="0"/>
          <w:numId w:val="5"/>
        </w:numPr>
      </w:pPr>
      <w:r>
        <w:rPr/>
        <w:t xml:space="preserve">Prognosticky závažná onemocnění cév a nervů horních končetin</w:t>
      </w:r>
    </w:p>
    <w:p>
      <w:pPr>
        <w:numPr>
          <w:ilvl w:val="0"/>
          <w:numId w:val="5"/>
        </w:numPr>
      </w:pPr>
      <w:r>
        <w:rPr/>
        <w:t xml:space="preserve">Prognosticky závažné onemocnění dýchacích cest a plic</w:t>
      </w:r>
    </w:p>
    <w:p>
      <w:pPr>
        <w:numPr>
          <w:ilvl w:val="0"/>
          <w:numId w:val="5"/>
        </w:numPr>
      </w:pPr>
      <w:r>
        <w:rPr/>
        <w:t xml:space="preserve">Stavy po poškození ionizujícím zářením</w:t>
      </w:r>
    </w:p>
    <w:p>
      <w:pPr>
        <w:numPr>
          <w:ilvl w:val="0"/>
          <w:numId w:val="5"/>
        </w:numPr>
      </w:pPr>
      <w:r>
        <w:rPr/>
        <w:t xml:space="preserve">Osoby s kardiostimulátorem</w:t>
      </w:r>
    </w:p>
    <w:p>
      <w:pPr>
        <w:numPr>
          <w:ilvl w:val="0"/>
          <w:numId w:val="5"/>
        </w:numPr>
      </w:pPr>
      <w:r>
        <w:rPr/>
        <w:t xml:space="preserve">Onemocnění oběhové soustavy</w:t>
      </w:r>
    </w:p>
    <w:p>
      <w:pPr>
        <w:numPr>
          <w:ilvl w:val="0"/>
          <w:numId w:val="5"/>
        </w:numPr>
      </w:pPr>
      <w:r>
        <w:rPr/>
        <w:t xml:space="preserve">Poruchy termoregulace</w:t>
      </w:r>
    </w:p>
    <w:p>
      <w:pPr>
        <w:numPr>
          <w:ilvl w:val="0"/>
          <w:numId w:val="5"/>
        </w:numPr>
      </w:pPr>
      <w:r>
        <w:rPr/>
        <w:t xml:space="preserve">Prognosticky závažná endokrinní onemocnění včetně diabetes mellitus</w:t>
      </w:r>
    </w:p>
    <w:p>
      <w:pPr>
        <w:numPr>
          <w:ilvl w:val="0"/>
          <w:numId w:val="5"/>
        </w:numPr>
      </w:pPr>
      <w:r>
        <w:rPr/>
        <w:t xml:space="preserve">Závažná chronická onemocnění kůže a spojivek</w:t>
      </w:r>
    </w:p>
    <w:p>
      <w:pPr>
        <w:numPr>
          <w:ilvl w:val="0"/>
          <w:numId w:val="5"/>
        </w:numPr>
      </w:pPr>
      <w:r>
        <w:rPr/>
        <w:t xml:space="preserve">Chronická onemocnění jater</w:t>
      </w:r>
    </w:p>
    <w:p>
      <w:pPr>
        <w:numPr>
          <w:ilvl w:val="0"/>
          <w:numId w:val="5"/>
        </w:numPr>
      </w:pPr>
      <w:r>
        <w:rPr/>
        <w:t xml:space="preserve">Závažná orgánová onemocnění podle druhu neionizujícího záření</w:t>
      </w:r>
    </w:p>
    <w:p>
      <w:pPr>
        <w:numPr>
          <w:ilvl w:val="0"/>
          <w:numId w:val="5"/>
        </w:numPr>
      </w:pPr>
      <w:r>
        <w:rPr/>
        <w:t xml:space="preserve">Závrať jakékoliv etiologie</w:t>
      </w:r>
    </w:p>
    <w:p>
      <w:pPr>
        <w:numPr>
          <w:ilvl w:val="0"/>
          <w:numId w:val="5"/>
        </w:numPr>
      </w:pPr>
      <w:r>
        <w:rPr/>
        <w:t xml:space="preserve">Drogová závislost v anamnéze</w:t>
      </w:r>
    </w:p>
    <w:p>
      <w:pPr>
        <w:numPr>
          <w:ilvl w:val="0"/>
          <w:numId w:val="5"/>
        </w:numPr>
      </w:pPr>
      <w:r>
        <w:rPr/>
        <w:t xml:space="preserve">Závažná nervová onemocnění a psychosomatická onemocnění</w:t>
      </w:r>
    </w:p>
    <w:p>
      <w:pPr>
        <w:pStyle w:val="Heading3"/>
      </w:pPr>
      <w:bookmarkStart w:id="22" w:name="_Toc22"/>
      <w:r>
        <w:t>Onemocnění vylučující výkon povolání / specializace povolání.e</w:t>
      </w:r>
      <w:bookmarkEnd w:id="22"/>
    </w:p>
    <w:p>
      <w:pPr>
        <w:numPr>
          <w:ilvl w:val="0"/>
          <w:numId w:val="5"/>
        </w:numPr>
      </w:pPr>
      <w:r>
        <w:rPr/>
        <w:t xml:space="preserve">Prognosticky závažné imunodeficitní stavy</w:t>
      </w:r>
    </w:p>
    <w:p>
      <w:pPr>
        <w:numPr>
          <w:ilvl w:val="0"/>
          <w:numId w:val="5"/>
        </w:numPr>
      </w:pPr>
      <w:r>
        <w:rPr/>
        <w:t xml:space="preserve">Záchvatovité a kolapsové stavy</w:t>
      </w:r>
    </w:p>
    <w:p>
      <w:pPr>
        <w:numPr>
          <w:ilvl w:val="0"/>
          <w:numId w:val="5"/>
        </w:numPr>
      </w:pPr>
      <w:r>
        <w:rPr/>
        <w:t xml:space="preserve">Závažná onemocnění dýchacích cest a plic</w:t>
      </w:r>
    </w:p>
    <w:p>
      <w:pPr>
        <w:numPr>
          <w:ilvl w:val="0"/>
          <w:numId w:val="5"/>
        </w:numPr>
      </w:pPr>
      <w:r>
        <w:rPr/>
        <w:t xml:space="preserve">Závažná onemocnění ledvin, močových cest</w:t>
      </w:r>
    </w:p>
    <w:p>
      <w:pPr>
        <w:numPr>
          <w:ilvl w:val="0"/>
          <w:numId w:val="5"/>
        </w:numPr>
      </w:pPr>
      <w:r>
        <w:rPr/>
        <w:t xml:space="preserve">Závažná degenerativní a zánětlivá onemocnění pohybového systému</w:t>
      </w:r>
    </w:p>
    <w:p>
      <w:pPr>
        <w:numPr>
          <w:ilvl w:val="0"/>
          <w:numId w:val="5"/>
        </w:numPr>
      </w:pPr>
      <w:r>
        <w:rPr/>
        <w:t xml:space="preserve">Závažná orgánová onemocnění podle toxikologických vlastností látek</w:t>
      </w:r>
    </w:p>
    <w:p>
      <w:pPr>
        <w:numPr>
          <w:ilvl w:val="0"/>
          <w:numId w:val="5"/>
        </w:numPr>
      </w:pPr>
      <w:r>
        <w:rPr/>
        <w:t xml:space="preserve">Alergická onemocnění</w:t>
      </w:r>
    </w:p>
    <w:p>
      <w:pPr>
        <w:numPr>
          <w:ilvl w:val="0"/>
          <w:numId w:val="5"/>
        </w:numPr>
      </w:pPr>
      <w:r>
        <w:rPr/>
        <w:t xml:space="preserve">Závažné poruchy krvetvorby a krvácivé stavy</w:t>
      </w:r>
    </w:p>
    <w:p>
      <w:pPr>
        <w:numPr>
          <w:ilvl w:val="0"/>
          <w:numId w:val="5"/>
        </w:numPr>
      </w:pPr>
      <w:r>
        <w:rPr/>
        <w:t xml:space="preserve">Onemocnění pohybového a nervového systému, omezující jemnou motoriku, koordinaci pohybů a svalovou sílu</w:t>
      </w:r>
    </w:p>
    <w:p>
      <w:pPr>
        <w:numPr>
          <w:ilvl w:val="0"/>
          <w:numId w:val="5"/>
        </w:numPr>
      </w:pPr>
      <w:r>
        <w:rPr/>
        <w:t xml:space="preserve">Duševní poruchy a poruchy chování</w:t>
      </w:r>
    </w:p>
    <w:p>
      <w:pPr>
        <w:numPr>
          <w:ilvl w:val="0"/>
          <w:numId w:val="5"/>
        </w:numPr>
      </w:pPr>
      <w:r>
        <w:rPr/>
        <w:t xml:space="preserve">Závažné stavy po úrazech či operacích pohybového systému</w:t>
      </w:r>
    </w:p>
    <w:p>
      <w:pPr/>
      <w:r>
        <w:rPr>
          <w:sz w:val="16"/>
          <w:szCs w:val="16"/>
          <w:i w:val="1"/>
          <w:iCs w:val="1"/>
        </w:rPr>
        <w:t xml:space="preserve">Přesné posouzení zdravotního stavu s následným doporučením nebo nedoporučením výkonu této pozice je možné pouze po konzultaci s lékařem.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nsid w:val="C5275D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120"/>
    </w:pPr>
    <w:rPr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spacing w:after="80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spacing w:after="60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spacing w:after="6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FDV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NSP.CZ</dc:creator>
  <dc:title>Metalograf</dc:title>
  <dc:description>Metalograf zkoumá a analyzuje chemické složení materiálů, vnitřní stavbu kovů a slitin, strukturální složky a vypracovává metalografické analýzy jednotlivých fází (velikost, tvar, uspořádání, množství, druh, defekty) vzorků a objasňuje příčiny materiálových defektů a technologických problémů při výrobě kovových materiálů.</dc:description>
  <dc:subject/>
  <cp:keywords/>
  <cp:category>Povolání</cp:category>
  <cp:lastModifiedBy/>
  <dcterms:created xsi:type="dcterms:W3CDTF">2017-11-22T09:23:39+01:00</dcterms:created>
  <dcterms:modified xsi:type="dcterms:W3CDTF">2023-04-17T11:36:52+02:00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