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Správce databází</w:t>
      </w:r>
      <w:bookmarkEnd w:id="1"/>
    </w:p>
    <w:p>
      <w:pPr/>
      <w:r>
        <w:rPr/>
        <w:t xml:space="preserve">Správce databází udržuje databáze dat, zálohuje a optimalizuje chod databází, identifikuje problémové oblasti a navrhuje řešení společně s programátory a návrháři databází.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Informační technologie</w:t>
            </w:r>
          </w:p>
        </w:tc>
      </w:tr>
      <w:tr>
        <w:trPr/>
        <w:tc>
          <w:tcPr/>
          <w:p>
            <w:pPr/>
            <w:r>
              <w:rPr>
                <w:b w:val="1"/>
                <w:bCs w:val="1"/>
              </w:rPr>
              <w:t xml:space="preserve">Odborný podsměr:</w:t>
            </w:r>
          </w:p>
        </w:tc>
        <w:tc>
          <w:tcPr/>
          <w:p>
            <w:pPr/>
            <w:r>
              <w:rPr/>
              <w:t xml:space="preserve">údržba a správa IT</w:t>
            </w:r>
          </w:p>
        </w:tc>
      </w:tr>
      <w:tr>
        <w:trPr/>
        <w:tc>
          <w:tcPr/>
          <w:p>
            <w:pPr/>
            <w:r>
              <w:rPr>
                <w:b w:val="1"/>
                <w:bCs w:val="1"/>
              </w:rPr>
              <w:t xml:space="preserve">Kvalifikační úroveň:</w:t>
            </w:r>
          </w:p>
        </w:tc>
        <w:tc>
          <w:tcPr/>
          <w:p>
            <w:pPr/>
            <w:r>
              <w:rPr/>
              <w:t xml:space="preserve">Pomaturitní krátkodobé vzdělání</w:t>
            </w:r>
          </w:p>
        </w:tc>
      </w:tr>
      <w:tr>
        <w:trPr/>
        <w:tc>
          <w:tcPr/>
          <w:p>
            <w:pPr/>
            <w:r>
              <w:rPr>
                <w:b w:val="1"/>
                <w:bCs w:val="1"/>
              </w:rPr>
              <w:t xml:space="preserve">Alternativní názvy:</w:t>
            </w:r>
          </w:p>
        </w:tc>
        <w:tc>
          <w:tcPr/>
          <w:p>
            <w:pPr/>
            <w:r>
              <w:rPr/>
              <w:t xml:space="preserve">Analytik, Databázový architekt, Database Designer</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Záloha a obnova databází, tvorba recovery scénářů, testovací obnovy.</w:t>
      </w:r>
    </w:p>
    <w:p>
      <w:pPr>
        <w:numPr>
          <w:ilvl w:val="0"/>
          <w:numId w:val="5"/>
        </w:numPr>
      </w:pPr>
      <w:r>
        <w:rPr/>
        <w:t xml:space="preserve">Správa uživatelských účtů a jejich oprávnění.</w:t>
      </w:r>
    </w:p>
    <w:p>
      <w:pPr>
        <w:numPr>
          <w:ilvl w:val="0"/>
          <w:numId w:val="5"/>
        </w:numPr>
      </w:pPr>
      <w:r>
        <w:rPr/>
        <w:t xml:space="preserve">Monitorování chodu databází (vytížení systémových prostředků, databázových parametrů, kontrola logů a trace souborů).</w:t>
      </w:r>
    </w:p>
    <w:p>
      <w:pPr>
        <w:numPr>
          <w:ilvl w:val="0"/>
          <w:numId w:val="5"/>
        </w:numPr>
      </w:pPr>
      <w:r>
        <w:rPr/>
        <w:t xml:space="preserve">Optimalizace výkonu databází, analýza problémových oblastí, návrh změn programátorům a návrhářům databází.</w:t>
      </w:r>
    </w:p>
    <w:p>
      <w:pPr>
        <w:numPr>
          <w:ilvl w:val="0"/>
          <w:numId w:val="5"/>
        </w:numPr>
      </w:pPr>
      <w:r>
        <w:rPr/>
        <w:t xml:space="preserve">Instalace softwarového vybavení databáze, včetně tvorby databází, exportů, importů a migrací dat.</w:t>
      </w:r>
    </w:p>
    <w:p>
      <w:pPr>
        <w:numPr>
          <w:ilvl w:val="0"/>
          <w:numId w:val="5"/>
        </w:numPr>
      </w:pPr>
      <w:r>
        <w:rPr/>
        <w:t xml:space="preserve">Sledování výskytu nových verzí (patche a update) softwarových databází, včetně jejich analýzy, doporučení nových verzí k instalaci a jejich testování.</w:t>
      </w:r>
    </w:p>
    <w:p>
      <w:pPr>
        <w:numPr>
          <w:ilvl w:val="0"/>
          <w:numId w:val="5"/>
        </w:numPr>
      </w:pPr>
      <w:r>
        <w:rPr/>
        <w:t xml:space="preserve">Nastavování zabezpečení databází, tvorba auditů a jejich vyhodnocování.</w:t>
      </w:r>
    </w:p>
    <w:p>
      <w:pPr>
        <w:numPr>
          <w:ilvl w:val="0"/>
          <w:numId w:val="5"/>
        </w:numPr>
      </w:pPr>
      <w:r>
        <w:rPr/>
        <w:t xml:space="preserve">Poskytování součinnosti při řešení požadavků pracovníků podpory koncových uživatelů (hotline).</w:t>
      </w:r>
    </w:p>
    <w:p>
      <w:pPr>
        <w:numPr>
          <w:ilvl w:val="0"/>
          <w:numId w:val="5"/>
        </w:numPr>
      </w:pPr>
      <w:r>
        <w:rPr/>
        <w:t xml:space="preserve">Spolupráce na přípravné fázi – návrhu a implementaci nové infrastruktury, včetně vhodného databázového produktu (z licenčního hlediska).</w:t>
      </w:r>
    </w:p>
    <w:p>
      <w:pPr>
        <w:numPr>
          <w:ilvl w:val="0"/>
          <w:numId w:val="5"/>
        </w:numPr>
      </w:pPr>
      <w:r>
        <w:rPr/>
        <w:t xml:space="preserve">Zajišťování provozní dokumentace databázových systémů.</w:t>
      </w:r>
    </w:p>
    <w:p>
      <w:pPr>
        <w:numPr>
          <w:ilvl w:val="0"/>
          <w:numId w:val="5"/>
        </w:numPr>
      </w:pPr>
      <w:r>
        <w:rPr/>
        <w:t xml:space="preserve">Sledování vývoje v oblasti software a hardware databázových systémů.</w:t>
      </w:r>
    </w:p>
    <w:p/>
    <w:p>
      <w:pPr>
        <w:pStyle w:val="Heading2"/>
      </w:pPr>
      <w:bookmarkStart w:id="3" w:name="_Toc3"/>
      <w:r>
        <w:t>CZ-ISCO</w:t>
      </w:r>
      <w:bookmarkEnd w:id="3"/>
    </w:p>
    <w:p>
      <w:pPr>
        <w:numPr>
          <w:ilvl w:val="0"/>
          <w:numId w:val="5"/>
        </w:numPr>
      </w:pPr>
      <w:r>
        <w:rPr/>
        <w:t xml:space="preserve">Návrháři a správci databází</w:t>
      </w:r>
    </w:p>
    <w:p>
      <w:pPr>
        <w:numPr>
          <w:ilvl w:val="0"/>
          <w:numId w:val="5"/>
        </w:numPr>
      </w:pPr>
      <w:r>
        <w:rPr/>
        <w:t xml:space="preserve">Návrháři a správci databází</w:t>
      </w:r>
    </w:p>
    <w:p/>
    <w:p>
      <w:pPr>
        <w:pStyle w:val="Heading3"/>
      </w:pPr>
      <w:bookmarkStart w:id="4" w:name="_Toc4"/>
      <w:r>
        <w:t>Hrubé měsíční mzdy podle krajů v roce 2024</w:t>
      </w:r>
      <w:bookmarkEnd w:id="4"/>
    </w:p>
    <w:p>
      <w:pPr>
        <w:pStyle w:val="Heading4"/>
      </w:pPr>
      <w:bookmarkStart w:id="5" w:name="_Toc5"/>
      <w:r>
        <w:t>Návrháři a správci databází (CZ-ISCO 2521)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51 827 Kč</w:t>
            </w:r>
          </w:p>
        </w:tc>
        <w:tc>
          <w:tcPr>
            <w:tcW w:w="1000" w:type="dxa"/>
          </w:tcPr>
          <w:p>
            <w:pPr>
              <w:jc w:val="center"/>
            </w:pPr>
            <w:r>
              <w:rPr/>
              <w:t xml:space="preserve">90 411 Kč</w:t>
            </w:r>
          </w:p>
        </w:tc>
        <w:tc>
          <w:tcPr>
            <w:tcW w:w="1000" w:type="dxa"/>
          </w:tcPr>
          <w:p>
            <w:pPr>
              <w:jc w:val="center"/>
            </w:pPr>
            <w:r>
              <w:rPr>
                <w:sz w:val="16"/>
                <w:szCs w:val="16"/>
              </w:rPr>
              <w:t xml:space="preserve">140 690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48 001 Kč</w:t>
            </w:r>
          </w:p>
        </w:tc>
        <w:tc>
          <w:tcPr>
            <w:tcW w:w="1000" w:type="dxa"/>
          </w:tcPr>
          <w:p>
            <w:pPr>
              <w:jc w:val="center"/>
            </w:pPr>
            <w:r>
              <w:rPr/>
              <w:t xml:space="preserve">64 017 Kč</w:t>
            </w:r>
          </w:p>
        </w:tc>
        <w:tc>
          <w:tcPr>
            <w:tcW w:w="1000" w:type="dxa"/>
          </w:tcPr>
          <w:p>
            <w:pPr>
              <w:jc w:val="center"/>
            </w:pPr>
            <w:r>
              <w:rPr>
                <w:sz w:val="16"/>
                <w:szCs w:val="16"/>
              </w:rPr>
              <w:t xml:space="preserve">109 010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55 573 Kč</w:t>
            </w:r>
          </w:p>
        </w:tc>
        <w:tc>
          <w:tcPr>
            <w:tcW w:w="1000" w:type="dxa"/>
          </w:tcPr>
          <w:p>
            <w:pPr>
              <w:jc w:val="center"/>
            </w:pPr>
            <w:r>
              <w:rPr/>
              <w:t xml:space="preserve">91 556 Kč</w:t>
            </w:r>
          </w:p>
        </w:tc>
        <w:tc>
          <w:tcPr>
            <w:tcW w:w="1000" w:type="dxa"/>
          </w:tcPr>
          <w:p>
            <w:pPr>
              <w:jc w:val="center"/>
            </w:pPr>
            <w:r>
              <w:rPr>
                <w:sz w:val="16"/>
                <w:szCs w:val="16"/>
              </w:rPr>
              <w:t xml:space="preserve">127 056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64 637 Kč</w:t>
            </w:r>
          </w:p>
        </w:tc>
        <w:tc>
          <w:tcPr>
            <w:tcW w:w="1000" w:type="dxa"/>
          </w:tcPr>
          <w:p>
            <w:pPr>
              <w:jc w:val="center"/>
            </w:pPr>
            <w:r>
              <w:rPr/>
              <w:t xml:space="preserve">87 597 Kč</w:t>
            </w:r>
          </w:p>
        </w:tc>
        <w:tc>
          <w:tcPr>
            <w:tcW w:w="1000" w:type="dxa"/>
          </w:tcPr>
          <w:p>
            <w:pPr>
              <w:jc w:val="center"/>
            </w:pPr>
            <w:r>
              <w:rPr>
                <w:sz w:val="16"/>
                <w:szCs w:val="16"/>
              </w:rPr>
              <w:t xml:space="preserve">124 959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52 003 Kč</w:t>
            </w:r>
          </w:p>
        </w:tc>
        <w:tc>
          <w:tcPr>
            <w:tcW w:w="1000" w:type="dxa"/>
          </w:tcPr>
          <w:p>
            <w:pPr>
              <w:jc w:val="center"/>
            </w:pPr>
            <w:r>
              <w:rPr>
                <w:sz w:val="16"/>
                <w:szCs w:val="16"/>
              </w:rPr>
              <w:t xml:space="preserve">132 437 Kč</w:t>
            </w:r>
          </w:p>
        </w:tc>
        <w:tc>
          <w:tcPr>
            <w:tcW w:w="1000" w:type="dxa"/>
          </w:tcPr>
          <w:p>
            <w:pPr>
              <w:jc w:val="center"/>
            </w:pPr>
            <w:r>
              <w:rPr>
                <w:sz w:val="16"/>
                <w:szCs w:val="16"/>
              </w:rPr>
              <w:t xml:space="preserve">167 543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47 809 Kč</w:t>
            </w:r>
          </w:p>
        </w:tc>
        <w:tc>
          <w:tcPr>
            <w:tcW w:w="1000" w:type="dxa"/>
          </w:tcPr>
          <w:p>
            <w:pPr>
              <w:jc w:val="center"/>
            </w:pPr>
            <w:r>
              <w:rPr/>
              <w:t xml:space="preserve">70 745 Kč</w:t>
            </w:r>
          </w:p>
        </w:tc>
        <w:tc>
          <w:tcPr>
            <w:tcW w:w="1000" w:type="dxa"/>
          </w:tcPr>
          <w:p>
            <w:pPr>
              <w:jc w:val="center"/>
            </w:pPr>
            <w:r>
              <w:rPr>
                <w:sz w:val="16"/>
                <w:szCs w:val="16"/>
              </w:rPr>
              <w:t xml:space="preserve">117 333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2521</w:t>
            </w:r>
          </w:p>
        </w:tc>
        <w:tc>
          <w:tcPr>
            <w:tcW w:w="2000" w:type="dxa"/>
          </w:tcPr>
          <w:p>
            <w:pPr/>
            <w:r>
              <w:rPr/>
              <w:t xml:space="preserve">Návrháři a správci databází</w:t>
            </w:r>
          </w:p>
        </w:tc>
        <w:tc>
          <w:tcPr>
            <w:tcW w:w="1000" w:type="dxa"/>
          </w:tcPr>
          <w:p>
            <w:pPr>
              <w:jc w:val="center"/>
            </w:pPr>
            <w:r>
              <w:rPr/>
              <w:t xml:space="preserve">53 024 Kč</w:t>
            </w:r>
          </w:p>
        </w:tc>
        <w:tc>
          <w:tcPr>
            <w:tcW w:w="1000" w:type="dxa"/>
          </w:tcPr>
          <w:p>
            <w:pPr>
              <w:jc w:val="center"/>
            </w:pPr>
            <w:r>
              <w:rPr/>
              <w:t xml:space="preserve">76 970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2521</w:t>
            </w:r>
          </w:p>
        </w:tc>
        <w:tc>
          <w:tcPr>
            <w:tcW w:w="3000" w:type="dxa"/>
          </w:tcPr>
          <w:p>
            <w:pPr/>
            <w:r>
              <w:rPr/>
              <w:t xml:space="preserve">Návrháři a správci databází</w:t>
            </w:r>
          </w:p>
        </w:tc>
        <w:tc>
          <w:tcPr>
            <w:tcW w:w="3000" w:type="dxa"/>
          </w:tcPr>
          <w:p>
            <w:pPr/>
            <w:r>
              <w:rPr/>
              <w:t xml:space="preserve">http://data.europa.eu/esco/isco/C2521</w:t>
            </w:r>
          </w:p>
        </w:tc>
      </w:tr>
    </w:tbl>
    <w:p/>
    <w:p/>
    <w:p/>
    <w:p>
      <w:pPr>
        <w:pStyle w:val="Heading2"/>
      </w:pPr>
      <w:bookmarkStart w:id="8" w:name="_Toc8"/>
      <w:r>
        <w:t>Příklady činností</w:t>
      </w:r>
      <w:bookmarkEnd w:id="8"/>
    </w:p>
    <w:tbl>
      <w:tblGrid>
        <w:gridCol w:w="7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7000" w:type="dxa"/>
          </w:tcPr>
          <w:p>
            <w:pPr/>
            <w:r>
              <w:rPr>
                <w:b w:val="1"/>
                <w:bCs w:val="1"/>
              </w:rPr>
              <w:t xml:space="preserve">Příklady činností ze veřejného sektoru</w:t>
            </w:r>
          </w:p>
        </w:tc>
        <w:tc>
          <w:tcPr>
            <w:tcW w:w="2000" w:type="dxa"/>
          </w:tcPr>
          <w:p>
            <w:pPr>
              <w:jc w:val="center"/>
            </w:pPr>
            <w:r>
              <w:rPr>
                <w:b w:val="1"/>
                <w:bCs w:val="1"/>
              </w:rPr>
              <w:t xml:space="preserve">Platová třída</w:t>
            </w:r>
          </w:p>
        </w:tc>
      </w:tr>
      <w:tr>
        <w:trPr/>
        <w:tc>
          <w:tcPr>
            <w:tcW w:w="7000" w:type="dxa"/>
          </w:tcPr>
          <w:p>
            <w:pPr/>
            <w:r>
              <w:rPr/>
              <w:t xml:space="preserve">Řízení a koordinace správ rozsáhlých centrálních databází včetně jejich navrhování a správy.</w:t>
            </w:r>
          </w:p>
        </w:tc>
        <w:tc>
          <w:tcPr>
            <w:tcW w:w="2000" w:type="dxa"/>
          </w:tcPr>
          <w:p>
            <w:pPr>
              <w:jc w:val="center"/>
            </w:pPr>
            <w:r>
              <w:rPr/>
              <w:t xml:space="preserve">12</w:t>
            </w:r>
          </w:p>
        </w:tc>
      </w:tr>
      <w:tr>
        <w:trPr/>
        <w:tc>
          <w:tcPr>
            <w:tcW w:w="7000" w:type="dxa"/>
          </w:tcPr>
          <w:p>
            <w:pPr/>
            <w:r>
              <w:rPr/>
              <w:t xml:space="preserve">Zajišťování správy (administrování) systému výpočetní techniky. Metodické usměrňování uživatelů, definování jejich problémů a jejich řešení se všemi účastníky správy systému, například se správou operačních systémů databází, síťového prostředí, případně s dodavateli.</w:t>
            </w:r>
          </w:p>
        </w:tc>
        <w:tc>
          <w:tcPr>
            <w:tcW w:w="2000" w:type="dxa"/>
          </w:tcPr>
          <w:p>
            <w:pPr>
              <w:jc w:val="center"/>
            </w:pPr>
            <w:r>
              <w:rPr/>
              <w:t xml:space="preserve">11</w:t>
            </w:r>
          </w:p>
        </w:tc>
      </w:tr>
      <w:tr>
        <w:trPr/>
        <w:tc>
          <w:tcPr>
            <w:tcW w:w="7000" w:type="dxa"/>
          </w:tcPr>
          <w:p>
            <w:pPr/>
            <w:r>
              <w:rPr/>
              <w:t xml:space="preserve">Navrhování a optimalizace databází včetně jejich ochrany a údržby, vytváření nových modulů a nových verzí, řešení nestandardních problémů s dodavateli, aplikace aktualizací a změn.</w:t>
            </w:r>
          </w:p>
        </w:tc>
        <w:tc>
          <w:tcPr>
            <w:tcW w:w="2000" w:type="dxa"/>
          </w:tcPr>
          <w:p>
            <w:pPr>
              <w:jc w:val="center"/>
            </w:pPr>
            <w:r>
              <w:rPr/>
              <w:t xml:space="preserve">11</w:t>
            </w:r>
          </w:p>
        </w:tc>
      </w:tr>
      <w:tr>
        <w:trPr/>
        <w:tc>
          <w:tcPr>
            <w:tcW w:w="7000" w:type="dxa"/>
          </w:tcPr>
          <w:p>
            <w:pPr/>
            <w:r>
              <w:rPr/>
              <w:t xml:space="preserve">Zajišťování správné funkce a chodu vymezených uživatelských úseků informační a komunikační infrastruktury, například operačních systémů a jejich nadstaveb, programovacích prostředků, vývojových nástrojů programovacích jazyků, multimediálních systémů, komunikačních systémů, informačních systémů, vědeckých, vědeckotechnických, technických, inženýrských, grafických, kancelářských nebo jiných aplikací pro koncového uživatele, síťového prostředí, databází apod. Stanovování a organizování způsobů a postupů využívání komunikačních prostředků výpočetní techniky.</w:t>
            </w:r>
          </w:p>
        </w:tc>
        <w:tc>
          <w:tcPr>
            <w:tcW w:w="2000" w:type="dxa"/>
          </w:tcPr>
          <w:p>
            <w:pPr>
              <w:jc w:val="center"/>
            </w:pPr>
            <w:r>
              <w:rPr/>
              <w:t xml:space="preserve">10</w:t>
            </w:r>
          </w:p>
        </w:tc>
      </w:tr>
      <w:tr>
        <w:trPr/>
        <w:tc>
          <w:tcPr>
            <w:tcW w:w="7000" w:type="dxa"/>
          </w:tcPr>
          <w:p>
            <w:pPr/>
            <w:r>
              <w:rPr/>
              <w:t xml:space="preserve">Zajišťování ochrany, údržby a aktualizace složitých databází. Zajišťování integrity dat. Nastavování databází. Zajišťování servisu uživatelům na úseku správy databází. Monitorování a nastavování parametrů podle požadavků uživatelů. Projektování a koordinace servisu, údržby a správy databáze.</w:t>
            </w:r>
          </w:p>
        </w:tc>
        <w:tc>
          <w:tcPr>
            <w:tcW w:w="2000" w:type="dxa"/>
          </w:tcPr>
          <w:p>
            <w:pPr>
              <w:jc w:val="center"/>
            </w:pPr>
            <w:r>
              <w:rPr/>
              <w:t xml:space="preserve">10</w:t>
            </w:r>
          </w:p>
        </w:tc>
      </w:tr>
      <w:tr>
        <w:trPr/>
        <w:tc>
          <w:tcPr>
            <w:tcW w:w="7000" w:type="dxa"/>
          </w:tcPr>
          <w:p>
            <w:pPr/>
            <w:r>
              <w:rPr/>
              <w:t xml:space="preserve">Správa databází ve víceuživatelských počítačových systémech.</w:t>
            </w:r>
          </w:p>
        </w:tc>
        <w:tc>
          <w:tcPr>
            <w:tcW w:w="2000" w:type="dxa"/>
          </w:tcPr>
          <w:p>
            <w:pPr>
              <w:jc w:val="center"/>
            </w:pPr>
            <w:r>
              <w:rPr/>
              <w:t xml:space="preserve">9</w:t>
            </w:r>
          </w:p>
        </w:tc>
      </w:tr>
      <w:tr>
        <w:trPr/>
        <w:tc>
          <w:tcPr>
            <w:tcW w:w="7000" w:type="dxa"/>
          </w:tcPr>
          <w:p>
            <w:pPr/>
            <w:r>
              <w:rPr/>
              <w:t xml:space="preserve">Správa báze dat.</w:t>
            </w:r>
          </w:p>
        </w:tc>
        <w:tc>
          <w:tcPr>
            <w:tcW w:w="2000" w:type="dxa"/>
          </w:tcPr>
          <w:p>
            <w:pPr>
              <w:jc w:val="center"/>
            </w:pPr>
            <w:r>
              <w:rPr/>
              <w:t xml:space="preserve">8</w:t>
            </w:r>
          </w:p>
        </w:tc>
      </w:tr>
    </w:tbl>
    <w:p/>
    <w:p>
      <w:pPr>
        <w:pStyle w:val="Heading2"/>
      </w:pPr>
      <w:bookmarkStart w:id="9" w:name="_Toc9"/>
      <w:r>
        <w:t>Pracovní podmínky</w:t>
      </w:r>
      <w:bookmarkEnd w:id="9"/>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Zraková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10" w:name="_Toc10"/>
      <w:r>
        <w:t>Kvalifikace k výkonu povolání</w:t>
      </w:r>
      <w:bookmarkEnd w:id="10"/>
    </w:p>
    <w:p>
      <w:pPr>
        <w:pStyle w:val="Heading3"/>
      </w:pPr>
      <w:bookmarkStart w:id="11" w:name="_Toc11"/>
      <w:r>
        <w:t>Školní vzdělání</w:t>
      </w:r>
      <w:bookmarkEnd w:id="11"/>
    </w:p>
    <w:p/>
    <w:p>
      <w:pPr>
        <w:pStyle w:val="Heading4"/>
      </w:pPr>
      <w:bookmarkStart w:id="12" w:name="_Toc12"/>
      <w:r>
        <w:t>Nejvhodnější školní přípravu poskytují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Výpočetní technika</w:t>
            </w:r>
          </w:p>
        </w:tc>
        <w:tc>
          <w:tcPr>
            <w:tcW w:w="2000" w:type="dxa"/>
          </w:tcPr>
          <w:p>
            <w:pPr>
              <w:jc w:val="center"/>
            </w:pPr>
            <w:r>
              <w:rPr/>
              <w:t xml:space="preserve">1820M</w:t>
            </w:r>
          </w:p>
        </w:tc>
      </w:tr>
      <w:tr>
        <w:trPr/>
        <w:tc>
          <w:tcPr>
            <w:tcW w:w="2000" w:type="dxa"/>
          </w:tcPr>
          <w:p>
            <w:pPr>
              <w:jc w:val="center"/>
            </w:pPr>
            <w:r>
              <w:rPr/>
              <w:t xml:space="preserve">AKSO</w:t>
            </w:r>
          </w:p>
        </w:tc>
        <w:tc>
          <w:tcPr>
            <w:tcW w:w="5000" w:type="dxa"/>
          </w:tcPr>
          <w:p>
            <w:pPr/>
            <w:r>
              <w:rPr/>
              <w:t xml:space="preserve">Informační technologie</w:t>
            </w:r>
          </w:p>
        </w:tc>
        <w:tc>
          <w:tcPr>
            <w:tcW w:w="2000" w:type="dxa"/>
          </w:tcPr>
          <w:p>
            <w:pPr>
              <w:jc w:val="center"/>
            </w:pPr>
            <w:r>
              <w:rPr/>
              <w:t xml:space="preserve">1820M01</w:t>
            </w:r>
          </w:p>
        </w:tc>
      </w:tr>
      <w:tr>
        <w:trPr/>
        <w:tc>
          <w:tcPr>
            <w:tcW w:w="2000" w:type="dxa"/>
          </w:tcPr>
          <w:p>
            <w:pPr>
              <w:jc w:val="center"/>
            </w:pPr>
            <w:r>
              <w:rPr/>
              <w:t xml:space="preserve">AKSO</w:t>
            </w:r>
          </w:p>
        </w:tc>
        <w:tc>
          <w:tcPr>
            <w:tcW w:w="5000" w:type="dxa"/>
          </w:tcPr>
          <w:p>
            <w:pPr/>
            <w:r>
              <w:rPr/>
              <w:t xml:space="preserve">Systémy informační</w:t>
            </w:r>
          </w:p>
        </w:tc>
        <w:tc>
          <w:tcPr>
            <w:tcW w:w="2000" w:type="dxa"/>
          </w:tcPr>
          <w:p>
            <w:pPr>
              <w:jc w:val="center"/>
            </w:pPr>
            <w:r>
              <w:rPr/>
              <w:t xml:space="preserve">2631N012</w:t>
            </w:r>
          </w:p>
        </w:tc>
      </w:tr>
      <w:tr>
        <w:trPr/>
        <w:tc>
          <w:tcPr>
            <w:tcW w:w="2000" w:type="dxa"/>
          </w:tcPr>
          <w:p>
            <w:pPr>
              <w:jc w:val="center"/>
            </w:pPr>
            <w:r>
              <w:rPr/>
              <w:t xml:space="preserve">KKOV</w:t>
            </w:r>
          </w:p>
        </w:tc>
        <w:tc>
          <w:tcPr>
            <w:tcW w:w="5000" w:type="dxa"/>
          </w:tcPr>
          <w:p>
            <w:pPr/>
            <w:r>
              <w:rPr/>
              <w:t xml:space="preserve">Vyšší odborné vzdělání v oboru výpočetní technika a informační technologie</w:t>
            </w:r>
          </w:p>
        </w:tc>
        <w:tc>
          <w:tcPr>
            <w:tcW w:w="2000" w:type="dxa"/>
          </w:tcPr>
          <w:p>
            <w:pPr>
              <w:jc w:val="center"/>
            </w:pPr>
            <w:r>
              <w:rPr/>
              <w:t xml:space="preserve">2631N</w:t>
            </w:r>
          </w:p>
        </w:tc>
      </w:tr>
      <w:tr>
        <w:trPr/>
        <w:tc>
          <w:tcPr>
            <w:tcW w:w="2000" w:type="dxa"/>
          </w:tcPr>
          <w:p>
            <w:pPr>
              <w:jc w:val="center"/>
            </w:pPr>
            <w:r>
              <w:rPr/>
              <w:t xml:space="preserve">RVP</w:t>
            </w:r>
          </w:p>
        </w:tc>
        <w:tc>
          <w:tcPr>
            <w:tcW w:w="5000" w:type="dxa"/>
          </w:tcPr>
          <w:p>
            <w:pPr/>
            <w:r>
              <w:rPr/>
              <w:t xml:space="preserve">Informační technologie</w:t>
            </w:r>
          </w:p>
        </w:tc>
        <w:tc>
          <w:tcPr>
            <w:tcW w:w="2000" w:type="dxa"/>
          </w:tcPr>
          <w:p>
            <w:pPr>
              <w:jc w:val="center"/>
            </w:pPr>
            <w:r>
              <w:rPr/>
              <w:t xml:space="preserve">18-20-M/01</w:t>
            </w:r>
          </w:p>
        </w:tc>
      </w:tr>
    </w:tbl>
    <w:p/>
    <w:p>
      <w:pPr>
        <w:pStyle w:val="Heading4"/>
      </w:pPr>
      <w:bookmarkStart w:id="13" w:name="_Toc13"/>
      <w:r>
        <w:t>Vhodnou školní přípravu poskytují také obory:</w:t>
      </w:r>
      <w:bookmarkEnd w:id="13"/>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elektrotechnika, telekomunikační a výpočetní technika</w:t>
            </w:r>
          </w:p>
        </w:tc>
        <w:tc>
          <w:tcPr>
            <w:tcW w:w="2000" w:type="dxa"/>
          </w:tcPr>
          <w:p>
            <w:pPr>
              <w:jc w:val="center"/>
            </w:pPr>
            <w:r>
              <w:rPr/>
              <w:t xml:space="preserve">26xxM</w:t>
            </w:r>
          </w:p>
        </w:tc>
      </w:tr>
      <w:tr>
        <w:trPr/>
        <w:tc>
          <w:tcPr>
            <w:tcW w:w="2000" w:type="dxa"/>
          </w:tcPr>
          <w:p>
            <w:pPr>
              <w:jc w:val="center"/>
            </w:pPr>
            <w:r>
              <w:rPr/>
              <w:t xml:space="preserve">KKOV</w:t>
            </w:r>
          </w:p>
        </w:tc>
        <w:tc>
          <w:tcPr>
            <w:tcW w:w="5000" w:type="dxa"/>
          </w:tcPr>
          <w:p>
            <w:pPr/>
            <w:r>
              <w:rPr/>
              <w:t xml:space="preserve">Vyšší odborné vzdělání ve skupině oborů elektrotechnika, telekomunikační a výpočetní technika</w:t>
            </w:r>
          </w:p>
        </w:tc>
        <w:tc>
          <w:tcPr>
            <w:tcW w:w="2000" w:type="dxa"/>
          </w:tcPr>
          <w:p>
            <w:pPr>
              <w:jc w:val="center"/>
            </w:pPr>
            <w:r>
              <w:rPr/>
              <w:t xml:space="preserve">26xxN</w:t>
            </w:r>
          </w:p>
        </w:tc>
      </w:tr>
    </w:tbl>
    <w:p/>
    <w:p>
      <w:pPr>
        <w:pStyle w:val="Heading3"/>
      </w:pPr>
      <w:bookmarkStart w:id="14" w:name="_Toc14"/>
      <w:r>
        <w:t>Další vzdělání</w:t>
      </w:r>
      <w:bookmarkEnd w:id="14"/>
    </w:p>
    <w:p>
      <w:pPr>
        <w:pStyle w:val="Heading4"/>
      </w:pPr>
      <w:bookmarkStart w:id="15" w:name="_Toc15"/>
      <w:r>
        <w:t>Profesní kvalifikace</w:t>
      </w:r>
      <w:bookmarkEnd w:id="15"/>
    </w:p>
    <w:p>
      <w:pPr>
        <w:numPr>
          <w:ilvl w:val="0"/>
          <w:numId w:val="5"/>
        </w:numPr>
      </w:pPr>
      <w:r>
        <w:rPr/>
        <w:t xml:space="preserve">Správce/správkyně databází (18-009-N)</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j21.D.7002</w:t>
            </w:r>
          </w:p>
        </w:tc>
        <w:tc>
          <w:tcPr>
            <w:tcW w:w="3000" w:type="dxa"/>
          </w:tcPr>
          <w:p>
            <w:pPr/>
            <w:r>
              <w:rPr/>
              <w:t xml:space="preserve">Používání SQL</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j21.D.1119</w:t>
            </w:r>
          </w:p>
        </w:tc>
        <w:tc>
          <w:tcPr>
            <w:tcW w:w="3000" w:type="dxa"/>
          </w:tcPr>
          <w:p>
            <w:pPr/>
            <w:r>
              <w:rPr/>
              <w:t xml:space="preserve">Aplikace popisu datového modelu</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j21.D.7003</w:t>
            </w:r>
          </w:p>
        </w:tc>
        <w:tc>
          <w:tcPr>
            <w:tcW w:w="3000" w:type="dxa"/>
          </w:tcPr>
          <w:p>
            <w:pPr/>
            <w:r>
              <w:rPr/>
              <w:t xml:space="preserve">Vytvoření databáze, instalace software pro chod databáze, a dalších podpůrných software</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j21.D.7241</w:t>
            </w:r>
          </w:p>
        </w:tc>
        <w:tc>
          <w:tcPr>
            <w:tcW w:w="3000" w:type="dxa"/>
          </w:tcPr>
          <w:p>
            <w:pPr/>
            <w:r>
              <w:rPr/>
              <w:t xml:space="preserve">Optimalizace výkonnosti databáze</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j21.D.3443</w:t>
            </w:r>
          </w:p>
        </w:tc>
        <w:tc>
          <w:tcPr>
            <w:tcW w:w="3000" w:type="dxa"/>
          </w:tcPr>
          <w:p>
            <w:pPr/>
            <w:r>
              <w:rPr/>
              <w:t xml:space="preserve">Zajištění bezpečnosti databáze proti neoprávněnému přístupu a zneužití dat</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j21.D.3012</w:t>
            </w:r>
          </w:p>
        </w:tc>
        <w:tc>
          <w:tcPr>
            <w:tcW w:w="3000" w:type="dxa"/>
          </w:tcPr>
          <w:p>
            <w:pPr/>
            <w:r>
              <w:rPr/>
              <w:t xml:space="preserve">Udržování provozuschopnosti databází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j22.B.8751</w:t>
            </w:r>
          </w:p>
        </w:tc>
        <w:tc>
          <w:tcPr>
            <w:tcW w:w="3000" w:type="dxa"/>
          </w:tcPr>
          <w:p>
            <w:pPr/>
            <w:r>
              <w:rPr/>
              <w:t xml:space="preserve">Vedení a aktualizace příslušných databází</w:t>
            </w:r>
          </w:p>
        </w:tc>
        <w:tc>
          <w:tcPr>
            <w:tcW w:w="2000" w:type="dxa"/>
          </w:tcPr>
          <w:p>
            <w:pPr>
              <w:jc w:val="center"/>
            </w:pPr>
            <w:r>
              <w:rPr/>
              <w:t xml:space="preserve">5</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j21._.0001</w:t>
            </w:r>
          </w:p>
        </w:tc>
        <w:tc>
          <w:tcPr>
            <w:tcW w:w="3000" w:type="dxa"/>
          </w:tcPr>
          <w:p>
            <w:pPr/>
            <w:r>
              <w:rPr/>
              <w:t xml:space="preserve">informatika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j21._.0011</w:t>
            </w:r>
          </w:p>
        </w:tc>
        <w:tc>
          <w:tcPr>
            <w:tcW w:w="3000" w:type="dxa"/>
          </w:tcPr>
          <w:p>
            <w:pPr/>
            <w:r>
              <w:rPr/>
              <w:t xml:space="preserve">algoritmizace úloh</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j21._.0021</w:t>
            </w:r>
          </w:p>
        </w:tc>
        <w:tc>
          <w:tcPr>
            <w:tcW w:w="3000" w:type="dxa"/>
          </w:tcPr>
          <w:p>
            <w:pPr/>
            <w:r>
              <w:rPr/>
              <w:t xml:space="preserve">vlastnosti informačních systémů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j21._.0022</w:t>
            </w:r>
          </w:p>
        </w:tc>
        <w:tc>
          <w:tcPr>
            <w:tcW w:w="3000" w:type="dxa"/>
          </w:tcPr>
          <w:p>
            <w:pPr/>
            <w:r>
              <w:rPr/>
              <w:t xml:space="preserve">analýzy uživatelských požadavků, podmínek, prostředí</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j21._.0023</w:t>
            </w:r>
          </w:p>
        </w:tc>
        <w:tc>
          <w:tcPr>
            <w:tcW w:w="3000" w:type="dxa"/>
          </w:tcPr>
          <w:p>
            <w:pPr/>
            <w:r>
              <w:rPr/>
              <w:t xml:space="preserve">projektování informačních systémů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j22._.0013</w:t>
            </w:r>
          </w:p>
        </w:tc>
        <w:tc>
          <w:tcPr>
            <w:tcW w:w="3000" w:type="dxa"/>
          </w:tcPr>
          <w:p>
            <w:pPr/>
            <w:r>
              <w:rPr/>
              <w:t xml:space="preserve">práce s databázemi</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j21._.0013</w:t>
            </w:r>
          </w:p>
        </w:tc>
        <w:tc>
          <w:tcPr>
            <w:tcW w:w="3000" w:type="dxa"/>
          </w:tcPr>
          <w:p>
            <w:pPr/>
            <w:r>
              <w:rPr/>
              <w:t xml:space="preserve">softwarová prostředí, operační systémy</w:t>
            </w:r>
          </w:p>
        </w:tc>
        <w:tc>
          <w:tcPr>
            <w:tcW w:w="2000" w:type="dxa"/>
          </w:tcPr>
          <w:p>
            <w:pPr>
              <w:jc w:val="center"/>
            </w:pPr>
            <w:r>
              <w:rPr/>
              <w:t xml:space="preserve">5</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Obecné dovednosti</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1</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20" w:name="_Toc20"/>
      <w:r>
        <w:t>Digitální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4</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4</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4</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4</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4</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4</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4</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4</w:t>
            </w:r>
          </w:p>
        </w:tc>
      </w:tr>
    </w:tbl>
    <w:p>
      <w:pPr/>
      <w:r>
        <w:rPr>
          <w:sz w:val="16"/>
          <w:szCs w:val="16"/>
          <w:i w:val="1"/>
          <w:iCs w:val="1"/>
        </w:rPr>
        <w:t xml:space="preserve">Popisy úrovní naleznete zde: https://nsp.cz/downloads/Priloha_c15_manualu.pdf</w:t>
      </w:r>
    </w:p>
    <w:p/>
    <w:p>
      <w:pPr>
        <w:pStyle w:val="Heading3"/>
      </w:pPr>
      <w:bookmarkStart w:id="21" w:name="_Toc21"/>
      <w:r>
        <w:t>Měkké kompetence</w:t>
      </w:r>
      <w:bookmarkEnd w:id="2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4</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4</w:t>
            </w:r>
          </w:p>
        </w:tc>
      </w:tr>
      <w:tr>
        <w:trPr/>
        <w:tc>
          <w:tcPr>
            <w:tcW w:w="2000" w:type="dxa"/>
          </w:tcPr>
          <w:p>
            <w:pPr>
              <w:jc w:val="center"/>
            </w:pPr>
            <w:r>
              <w:rPr/>
              <w:t xml:space="preserve">2.5</w:t>
            </w:r>
          </w:p>
        </w:tc>
        <w:tc>
          <w:tcPr>
            <w:tcW w:w="5000" w:type="dxa"/>
          </w:tcPr>
          <w:p>
            <w:pPr/>
            <w:r>
              <w:rPr/>
              <w:t xml:space="preserve">Kompetence k sebepoznání a porozumění druhým</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4</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p/>
    <w:p>
      <w:pPr>
        <w:pStyle w:val="Heading2"/>
      </w:pPr>
      <w:bookmarkStart w:id="22" w:name="_Toc22"/>
      <w:r>
        <w:t>Zdravotní podmínky</w:t>
      </w:r>
      <w:bookmarkEnd w:id="22"/>
    </w:p>
    <w:p>
      <w:pPr>
        <w:pStyle w:val="Heading3"/>
      </w:pPr>
      <w:bookmarkStart w:id="23" w:name="_Toc23"/>
      <w:r>
        <w:t>Onemocnění omezující výkon povolání / specializace povolání.</w:t>
      </w:r>
      <w:bookmarkEnd w:id="23"/>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Duševní poruchy a poruchy chování</w:t>
      </w:r>
    </w:p>
    <w:p>
      <w:pPr>
        <w:numPr>
          <w:ilvl w:val="0"/>
          <w:numId w:val="5"/>
        </w:numPr>
      </w:pPr>
      <w:r>
        <w:rPr/>
        <w:t xml:space="preserve">Závažné stavy po úrazech či operacích pohybového systému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5F90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Správce databází</dc:title>
  <dc:description>Správce databází udržuje databáze dat, zálohuje a optimalizuje chod databází, identifikuje problémové oblasti a navrhuje řešení společně s programátory a návrháři databází.</dc:description>
  <dc:subject/>
  <cp:keywords/>
  <cp:category>Povolání</cp:category>
  <cp:lastModifiedBy/>
  <dcterms:created xsi:type="dcterms:W3CDTF">2017-11-22T09:14:01+01:00</dcterms:created>
  <dcterms:modified xsi:type="dcterms:W3CDTF">2022-07-15T16:06:49+02:00</dcterms:modified>
</cp:coreProperties>
</file>

<file path=docProps/custom.xml><?xml version="1.0" encoding="utf-8"?>
<Properties xmlns="http://schemas.openxmlformats.org/officeDocument/2006/custom-properties" xmlns:vt="http://schemas.openxmlformats.org/officeDocument/2006/docPropsVTypes"/>
</file>