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Správce databází</w:t>
      </w:r>
      <w:bookmarkEnd w:id="1"/>
    </w:p>
    <w:p>
      <w:pPr/>
      <w:r>
        <w:rPr/>
        <w:t xml:space="preserve">Správce databází udržuje databáze dat, zálohuje a optimalizuje chod databází, identifikuje problémové oblasti a navrhuje řešení společně s programátory a návrháři databází.</w:t>
      </w:r>
    </w:p>
    <w:p/>
    <w:tbl>
      <w:tblGrid>
        <w:gridCol w:w="3000" w:type="dxa"/>
        <w:gridCol w:w="6000" w:type="dxa"/>
      </w:tblGrid>
      <w:tblPr>
        <w:jc w:val="start"/>
        <w:tblW w:w="0" w:type="auto"/>
        <w:tblCellSpacing w:w="50" w:type="dxa"/>
        <w:tblLayout w:type="autofit"/>
        <w:bidiVisual w:val="0"/>
        <w:tblCellMar>
          <w:top w:w="80" w:type="dxa"/>
          <w:left w:w="80" w:type="dxa"/>
          <w:right w:w="80" w:type="dxa"/>
          <w:bottom w:w="80" w:type="dxa"/>
        </w:tblCellMar>
      </w:tblPr>
      <w:tr>
        <w:trPr/>
        <w:tc>
          <w:tcPr>
            <w:tcW w:w="3000" w:type="dxa"/>
          </w:tcPr>
          <w:p>
            <w:pPr/>
            <w:r>
              <w:rPr>
                <w:b w:val="1"/>
                <w:bCs w:val="1"/>
              </w:rPr>
              <w:t xml:space="preserve">Odborný směr:</w:t>
            </w:r>
          </w:p>
        </w:tc>
        <w:tc>
          <w:tcPr>
            <w:tcW w:w="6000" w:type="dxa"/>
          </w:tcPr>
          <w:p>
            <w:pPr/>
            <w:r>
              <w:rPr/>
              <w:t xml:space="preserve">Informační technologie</w:t>
            </w:r>
          </w:p>
        </w:tc>
      </w:tr>
      <w:tr>
        <w:trPr/>
        <w:tc>
          <w:tcPr/>
          <w:p>
            <w:pPr/>
            <w:r>
              <w:rPr>
                <w:b w:val="1"/>
                <w:bCs w:val="1"/>
              </w:rPr>
              <w:t xml:space="preserve">Odborný podsměr:</w:t>
            </w:r>
          </w:p>
        </w:tc>
        <w:tc>
          <w:tcPr/>
          <w:p>
            <w:pPr/>
            <w:r>
              <w:rPr/>
              <w:t xml:space="preserve">údržba a správa IT</w:t>
            </w:r>
          </w:p>
        </w:tc>
      </w:tr>
      <w:tr>
        <w:trPr/>
        <w:tc>
          <w:tcPr/>
          <w:p>
            <w:pPr/>
            <w:r>
              <w:rPr>
                <w:b w:val="1"/>
                <w:bCs w:val="1"/>
              </w:rPr>
              <w:t xml:space="preserve">Kvalifikační úroveň:</w:t>
            </w:r>
          </w:p>
        </w:tc>
        <w:tc>
          <w:tcPr/>
          <w:p>
            <w:pPr/>
            <w:r>
              <w:rPr/>
              <w:t xml:space="preserve">Pomaturitní krátkodobé vzdělání</w:t>
            </w:r>
          </w:p>
        </w:tc>
      </w:tr>
      <w:tr>
        <w:trPr/>
        <w:tc>
          <w:tcPr/>
          <w:p>
            <w:pPr/>
            <w:r>
              <w:rPr>
                <w:b w:val="1"/>
                <w:bCs w:val="1"/>
              </w:rPr>
              <w:t xml:space="preserve">Alternativní názvy:</w:t>
            </w:r>
          </w:p>
        </w:tc>
        <w:tc>
          <w:tcPr/>
          <w:p>
            <w:pPr/>
            <w:r>
              <w:rPr/>
              <w:t xml:space="preserve">Analytik, Databázový architekt, Database Designer</w:t>
            </w:r>
          </w:p>
        </w:tc>
      </w:tr>
      <w:tr>
        <w:trPr/>
        <w:tc>
          <w:tcPr/>
          <w:p>
            <w:pPr/>
            <w:r>
              <w:rPr>
                <w:b w:val="1"/>
                <w:bCs w:val="1"/>
              </w:rPr>
              <w:t xml:space="preserve">Regulovaná jednotka práce:</w:t>
            </w:r>
          </w:p>
        </w:tc>
        <w:tc>
          <w:tcPr/>
          <w:p>
            <w:pPr/>
            <w:r>
              <w:rPr/>
              <w:t xml:space="preserve">ne</w:t>
            </w:r>
          </w:p>
        </w:tc>
      </w:tr>
    </w:tbl>
    <w:p/>
    <w:p>
      <w:pPr>
        <w:pStyle w:val="Heading2"/>
      </w:pPr>
      <w:bookmarkStart w:id="2" w:name="_Toc2"/>
      <w:r>
        <w:t>Pracovní činnosti</w:t>
      </w:r>
      <w:bookmarkEnd w:id="2"/>
    </w:p>
    <w:p>
      <w:pPr>
        <w:numPr>
          <w:ilvl w:val="0"/>
          <w:numId w:val="5"/>
        </w:numPr>
      </w:pPr>
      <w:r>
        <w:rPr/>
        <w:t xml:space="preserve">Záloha a obnova databází, tvorba recovery scénářů, testovací obnovy.</w:t>
      </w:r>
    </w:p>
    <w:p>
      <w:pPr>
        <w:numPr>
          <w:ilvl w:val="0"/>
          <w:numId w:val="5"/>
        </w:numPr>
      </w:pPr>
      <w:r>
        <w:rPr/>
        <w:t xml:space="preserve">Správa uživatelských účtů a jejich oprávnění.</w:t>
      </w:r>
    </w:p>
    <w:p>
      <w:pPr>
        <w:numPr>
          <w:ilvl w:val="0"/>
          <w:numId w:val="5"/>
        </w:numPr>
      </w:pPr>
      <w:r>
        <w:rPr/>
        <w:t xml:space="preserve">Monitorování chodu databází (vytížení systémových prostředků, databázových parametrů, kontrola logů a trace souborů).</w:t>
      </w:r>
    </w:p>
    <w:p>
      <w:pPr>
        <w:numPr>
          <w:ilvl w:val="0"/>
          <w:numId w:val="5"/>
        </w:numPr>
      </w:pPr>
      <w:r>
        <w:rPr/>
        <w:t xml:space="preserve">Optimalizace výkonu databází, analýza problémových oblastí, návrh změn programátorům a návrhářům databází.</w:t>
      </w:r>
    </w:p>
    <w:p>
      <w:pPr>
        <w:numPr>
          <w:ilvl w:val="0"/>
          <w:numId w:val="5"/>
        </w:numPr>
      </w:pPr>
      <w:r>
        <w:rPr/>
        <w:t xml:space="preserve">Instalace softwarového vybavení databáze, včetně tvorby databází, exportů, importů a migrací dat.</w:t>
      </w:r>
    </w:p>
    <w:p>
      <w:pPr>
        <w:numPr>
          <w:ilvl w:val="0"/>
          <w:numId w:val="5"/>
        </w:numPr>
      </w:pPr>
      <w:r>
        <w:rPr/>
        <w:t xml:space="preserve">Sledování výskytu nových verzí (patche a update) softwarových databází, včetně jejich analýzy, doporučení nových verzí k instalaci a jejich testování.</w:t>
      </w:r>
    </w:p>
    <w:p>
      <w:pPr>
        <w:numPr>
          <w:ilvl w:val="0"/>
          <w:numId w:val="5"/>
        </w:numPr>
      </w:pPr>
      <w:r>
        <w:rPr/>
        <w:t xml:space="preserve">Nastavování zabezpečení databází, tvorba auditů a jejich vyhodnocování.</w:t>
      </w:r>
    </w:p>
    <w:p>
      <w:pPr>
        <w:numPr>
          <w:ilvl w:val="0"/>
          <w:numId w:val="5"/>
        </w:numPr>
      </w:pPr>
      <w:r>
        <w:rPr/>
        <w:t xml:space="preserve">Poskytování součinnosti při řešení požadavků pracovníků podpory koncových uživatelů (hotline).</w:t>
      </w:r>
    </w:p>
    <w:p>
      <w:pPr>
        <w:numPr>
          <w:ilvl w:val="0"/>
          <w:numId w:val="5"/>
        </w:numPr>
      </w:pPr>
      <w:r>
        <w:rPr/>
        <w:t xml:space="preserve">Spolupráce na přípravné fázi – návrhu a implementaci nové infrastruktury, včetně vhodného databázového produktu (z licenčního hlediska).</w:t>
      </w:r>
    </w:p>
    <w:p>
      <w:pPr>
        <w:numPr>
          <w:ilvl w:val="0"/>
          <w:numId w:val="5"/>
        </w:numPr>
      </w:pPr>
      <w:r>
        <w:rPr/>
        <w:t xml:space="preserve">Zajišťování provozní dokumentace databázových systémů.</w:t>
      </w:r>
    </w:p>
    <w:p>
      <w:pPr>
        <w:numPr>
          <w:ilvl w:val="0"/>
          <w:numId w:val="5"/>
        </w:numPr>
      </w:pPr>
      <w:r>
        <w:rPr/>
        <w:t xml:space="preserve">Sledování vývoje v oblasti software a hardware databázových systémů.</w:t>
      </w:r>
    </w:p>
    <w:p/>
    <w:p>
      <w:pPr>
        <w:pStyle w:val="Heading2"/>
      </w:pPr>
      <w:bookmarkStart w:id="3" w:name="_Toc3"/>
      <w:r>
        <w:t>CZ-ISCO</w:t>
      </w:r>
      <w:bookmarkEnd w:id="3"/>
    </w:p>
    <w:p>
      <w:pPr>
        <w:numPr>
          <w:ilvl w:val="0"/>
          <w:numId w:val="5"/>
        </w:numPr>
      </w:pPr>
      <w:r>
        <w:rPr/>
        <w:t xml:space="preserve">Návrháři a správci databází</w:t>
      </w:r>
    </w:p>
    <w:p>
      <w:pPr>
        <w:numPr>
          <w:ilvl w:val="0"/>
          <w:numId w:val="5"/>
        </w:numPr>
      </w:pPr>
      <w:r>
        <w:rPr/>
        <w:t xml:space="preserve">Návrháři a správci databází</w:t>
      </w:r>
    </w:p>
    <w:p/>
    <w:p>
      <w:pPr>
        <w:pStyle w:val="Heading3"/>
      </w:pPr>
      <w:bookmarkStart w:id="4" w:name="_Toc4"/>
      <w:r>
        <w:t>Hrubé měsíční mzdy podle krajů v roce 2025</w:t>
      </w:r>
      <w:bookmarkEnd w:id="4"/>
    </w:p>
    <w:p>
      <w:pPr>
        <w:pStyle w:val="Heading4"/>
      </w:pPr>
      <w:bookmarkStart w:id="5" w:name="_Toc5"/>
      <w:r>
        <w:t>Návrháři a správci databází (CZ-ISCO 2521)</w:t>
      </w:r>
      <w:bookmarkEnd w:id="5"/>
    </w:p>
    <w:tbl>
      <w:tblGrid>
        <w:gridCol w:w="2400" w:type="dxa"/>
        <w:gridCol w:w="1100" w:type="dxa"/>
        <w:gridCol w:w="1100" w:type="dxa"/>
        <w:gridCol w:w="1100" w:type="dxa"/>
        <w:gridCol w:w="1100" w:type="dxa"/>
        <w:gridCol w:w="1100" w:type="dxa"/>
        <w:gridCol w:w="1100" w:type="dxa"/>
      </w:tblGrid>
      <w:tblPr>
        <w:jc w:val="start"/>
        <w:tblW w:w="0" w:type="auto"/>
        <w:tblCellSpacing w:w="50" w:type="dxa"/>
        <w:tblLayout w:type="autofit"/>
        <w:bidiVisual w:val="0"/>
        <w:tblCellMar>
          <w:top w:w="80" w:type="dxa"/>
          <w:left w:w="80" w:type="dxa"/>
          <w:right w:w="80" w:type="dxa"/>
          <w:bottom w:w="80" w:type="dxa"/>
        </w:tblCellMar>
      </w:tblPr>
      <w:tr>
        <w:trPr/>
        <w:tc>
          <w:tcPr>
            <w:tcW w:w="2400" w:type="dxa"/>
          </w:tcPr>
          <w:p/>
        </w:tc>
        <w:tc>
          <w:tcPr>
            <w:tcW w:w="3300" w:type="dxa"/>
            <w:gridSpan w:val="3"/>
          </w:tcPr>
          <w:p>
            <w:pPr>
              <w:jc w:val="center"/>
            </w:pPr>
            <w:r>
              <w:rPr>
                <w:b w:val="1"/>
                <w:bCs w:val="1"/>
              </w:rPr>
              <w:t xml:space="preserve">Mzdová sféra</w:t>
            </w:r>
          </w:p>
        </w:tc>
        <w:tc>
          <w:tcPr>
            <w:tcW w:w="3300" w:type="dxa"/>
            <w:gridSpan w:val="3"/>
          </w:tcPr>
          <w:p>
            <w:pPr>
              <w:jc w:val="center"/>
            </w:pPr>
            <w:r>
              <w:rPr>
                <w:b w:val="1"/>
                <w:bCs w:val="1"/>
              </w:rPr>
              <w:t xml:space="preserve">Platová sféra</w:t>
            </w:r>
          </w:p>
        </w:tc>
      </w:tr>
      <w:tr>
        <w:trPr/>
        <w:tc>
          <w:tcPr>
            <w:tcW w:w="2400" w:type="dxa"/>
          </w:tcPr>
          <w:p>
            <w:pPr/>
            <w:r>
              <w:rPr>
                <w:b w:val="1"/>
                <w:bCs w:val="1"/>
              </w:rPr>
              <w:t xml:space="preserve">Kraj</w:t>
            </w:r>
          </w:p>
        </w:tc>
        <w:tc>
          <w:tcPr>
            <w:tcW w:w="1100" w:type="dxa"/>
          </w:tcPr>
          <w:p>
            <w:pPr>
              <w:jc w:val="center"/>
            </w:pPr>
            <w:r>
              <w:rPr>
                <w:b w:val="1"/>
                <w:bCs w:val="1"/>
              </w:rPr>
              <w:t xml:space="preserve">Od</w:t>
            </w:r>
          </w:p>
        </w:tc>
        <w:tc>
          <w:tcPr>
            <w:tcW w:w="1100" w:type="dxa"/>
          </w:tcPr>
          <w:p>
            <w:pPr>
              <w:jc w:val="center"/>
            </w:pPr>
            <w:r>
              <w:rPr>
                <w:b w:val="1"/>
                <w:bCs w:val="1"/>
              </w:rPr>
              <w:t xml:space="preserve">Medián</w:t>
            </w:r>
          </w:p>
        </w:tc>
        <w:tc>
          <w:tcPr>
            <w:tcW w:w="1100" w:type="dxa"/>
          </w:tcPr>
          <w:p>
            <w:pPr>
              <w:jc w:val="center"/>
            </w:pPr>
            <w:r>
              <w:rPr>
                <w:b w:val="1"/>
                <w:bCs w:val="1"/>
              </w:rPr>
              <w:t xml:space="preserve">Do</w:t>
            </w:r>
          </w:p>
        </w:tc>
        <w:tc>
          <w:tcPr>
            <w:tcW w:w="1100" w:type="dxa"/>
          </w:tcPr>
          <w:p>
            <w:pPr>
              <w:jc w:val="center"/>
            </w:pPr>
            <w:r>
              <w:rPr>
                <w:b w:val="1"/>
                <w:bCs w:val="1"/>
              </w:rPr>
              <w:t xml:space="preserve">Od</w:t>
            </w:r>
          </w:p>
        </w:tc>
        <w:tc>
          <w:tcPr>
            <w:tcW w:w="1100" w:type="dxa"/>
          </w:tcPr>
          <w:p>
            <w:pPr>
              <w:jc w:val="center"/>
            </w:pPr>
            <w:r>
              <w:rPr>
                <w:b w:val="1"/>
                <w:bCs w:val="1"/>
              </w:rPr>
              <w:t xml:space="preserve">Medián</w:t>
            </w:r>
          </w:p>
        </w:tc>
        <w:tc>
          <w:tcPr>
            <w:tcW w:w="1100" w:type="dxa"/>
          </w:tcPr>
          <w:p>
            <w:pPr>
              <w:jc w:val="center"/>
            </w:pPr>
            <w:r>
              <w:rPr>
                <w:b w:val="1"/>
                <w:bCs w:val="1"/>
              </w:rPr>
              <w:t xml:space="preserve">Do</w:t>
            </w:r>
          </w:p>
        </w:tc>
      </w:tr>
      <w:tr>
        <w:trPr/>
        <w:tc>
          <w:tcPr>
            <w:tcW w:w="2000" w:type="dxa"/>
          </w:tcPr>
          <w:p>
            <w:pPr/>
            <w:r>
              <w:rPr/>
              <w:t xml:space="preserve">Středočeský kraj</w:t>
            </w:r>
          </w:p>
        </w:tc>
        <w:tc>
          <w:tcPr>
            <w:tcW w:w="1000" w:type="dxa"/>
          </w:tcPr>
          <w:p>
            <w:pPr>
              <w:jc w:val="center"/>
            </w:pPr>
            <w:r>
              <w:rPr/>
              <w:t xml:space="preserve">46 959 Kč</w:t>
            </w:r>
          </w:p>
        </w:tc>
        <w:tc>
          <w:tcPr>
            <w:tcW w:w="1000" w:type="dxa"/>
          </w:tcPr>
          <w:p>
            <w:pPr>
              <w:jc w:val="center"/>
            </w:pPr>
            <w:r>
              <w:rPr/>
              <w:t xml:space="preserve">69 710 Kč</w:t>
            </w:r>
          </w:p>
        </w:tc>
        <w:tc>
          <w:tcPr>
            <w:tcW w:w="1000" w:type="dxa"/>
          </w:tcPr>
          <w:p>
            <w:pPr>
              <w:jc w:val="center"/>
            </w:pPr>
            <w:r>
              <w:rPr>
                <w:sz w:val="16"/>
                <w:szCs w:val="16"/>
              </w:rPr>
              <w:t xml:space="preserve">106 893 Kč</w:t>
            </w:r>
          </w:p>
        </w:tc>
        <w:tc>
          <w:tcPr>
            <w:tcW w:w="1000" w:type="dxa"/>
          </w:tcPr>
          <w:p/>
        </w:tc>
        <w:tc>
          <w:tcPr>
            <w:tcW w:w="1000" w:type="dxa"/>
          </w:tcPr>
          <w:p/>
        </w:tc>
        <w:tc>
          <w:tcPr>
            <w:tcW w:w="1000" w:type="dxa"/>
          </w:tcPr>
          <w:p/>
        </w:tc>
      </w:tr>
      <w:tr>
        <w:trPr/>
        <w:tc>
          <w:tcPr>
            <w:tcW w:w="2000" w:type="dxa"/>
          </w:tcPr>
          <w:p>
            <w:pPr/>
            <w:r>
              <w:rPr/>
              <w:t xml:space="preserve">Plzeňský kraj</w:t>
            </w:r>
          </w:p>
        </w:tc>
        <w:tc>
          <w:tcPr>
            <w:tcW w:w="1000" w:type="dxa"/>
          </w:tcPr>
          <w:p>
            <w:pPr>
              <w:jc w:val="center"/>
            </w:pPr>
            <w:r>
              <w:rPr/>
              <w:t xml:space="preserve">40 427 Kč</w:t>
            </w:r>
          </w:p>
        </w:tc>
        <w:tc>
          <w:tcPr>
            <w:tcW w:w="1000" w:type="dxa"/>
          </w:tcPr>
          <w:p>
            <w:pPr>
              <w:jc w:val="center"/>
            </w:pPr>
            <w:r>
              <w:rPr/>
              <w:t xml:space="preserve">87 908 Kč</w:t>
            </w:r>
          </w:p>
        </w:tc>
        <w:tc>
          <w:tcPr>
            <w:tcW w:w="1000" w:type="dxa"/>
          </w:tcPr>
          <w:p>
            <w:pPr>
              <w:jc w:val="center"/>
            </w:pPr>
            <w:r>
              <w:rPr>
                <w:sz w:val="16"/>
                <w:szCs w:val="16"/>
              </w:rPr>
              <w:t xml:space="preserve">138 883 Kč</w:t>
            </w:r>
          </w:p>
        </w:tc>
        <w:tc>
          <w:tcPr>
            <w:tcW w:w="1000" w:type="dxa"/>
          </w:tcPr>
          <w:p/>
        </w:tc>
        <w:tc>
          <w:tcPr>
            <w:tcW w:w="1000" w:type="dxa"/>
          </w:tcPr>
          <w:p/>
        </w:tc>
        <w:tc>
          <w:tcPr>
            <w:tcW w:w="1000" w:type="dxa"/>
          </w:tcPr>
          <w:p/>
        </w:tc>
      </w:tr>
      <w:tr>
        <w:trPr/>
        <w:tc>
          <w:tcPr>
            <w:tcW w:w="2000" w:type="dxa"/>
          </w:tcPr>
          <w:p>
            <w:pPr/>
            <w:r>
              <w:rPr/>
              <w:t xml:space="preserve">Ústecký kraj</w:t>
            </w:r>
          </w:p>
        </w:tc>
        <w:tc>
          <w:tcPr>
            <w:tcW w:w="1000" w:type="dxa"/>
          </w:tcPr>
          <w:p>
            <w:pPr>
              <w:jc w:val="center"/>
            </w:pPr>
            <w:r>
              <w:rPr/>
              <w:t xml:space="preserve">62 632 Kč</w:t>
            </w:r>
          </w:p>
        </w:tc>
        <w:tc>
          <w:tcPr>
            <w:tcW w:w="1000" w:type="dxa"/>
          </w:tcPr>
          <w:p>
            <w:pPr>
              <w:jc w:val="center"/>
            </w:pPr>
            <w:r>
              <w:rPr/>
              <w:t xml:space="preserve">99 591 Kč</w:t>
            </w:r>
          </w:p>
        </w:tc>
        <w:tc>
          <w:tcPr>
            <w:tcW w:w="1000" w:type="dxa"/>
          </w:tcPr>
          <w:p>
            <w:pPr>
              <w:jc w:val="center"/>
            </w:pPr>
            <w:r>
              <w:rPr>
                <w:sz w:val="16"/>
                <w:szCs w:val="16"/>
              </w:rPr>
              <w:t xml:space="preserve">146 839 Kč</w:t>
            </w:r>
          </w:p>
        </w:tc>
        <w:tc>
          <w:tcPr>
            <w:tcW w:w="1000" w:type="dxa"/>
          </w:tcPr>
          <w:p/>
        </w:tc>
        <w:tc>
          <w:tcPr>
            <w:tcW w:w="1000" w:type="dxa"/>
          </w:tcPr>
          <w:p/>
        </w:tc>
        <w:tc>
          <w:tcPr>
            <w:tcW w:w="1000" w:type="dxa"/>
          </w:tcPr>
          <w:p/>
        </w:tc>
      </w:tr>
      <w:tr>
        <w:trPr/>
        <w:tc>
          <w:tcPr>
            <w:tcW w:w="2000" w:type="dxa"/>
          </w:tcPr>
          <w:p>
            <w:pPr/>
            <w:r>
              <w:rPr/>
              <w:t xml:space="preserve">Královéhradecký kraj</w:t>
            </w:r>
          </w:p>
        </w:tc>
        <w:tc>
          <w:tcPr>
            <w:tcW w:w="1000" w:type="dxa"/>
          </w:tcPr>
          <w:p>
            <w:pPr>
              <w:jc w:val="center"/>
            </w:pPr>
            <w:r>
              <w:rPr/>
              <w:t xml:space="preserve">49 218 Kč</w:t>
            </w:r>
          </w:p>
        </w:tc>
        <w:tc>
          <w:tcPr>
            <w:tcW w:w="1000" w:type="dxa"/>
          </w:tcPr>
          <w:p>
            <w:pPr>
              <w:jc w:val="center"/>
            </w:pPr>
            <w:r>
              <w:rPr/>
              <w:t xml:space="preserve">71 553 Kč</w:t>
            </w:r>
          </w:p>
        </w:tc>
        <w:tc>
          <w:tcPr>
            <w:tcW w:w="1000" w:type="dxa"/>
          </w:tcPr>
          <w:p>
            <w:pPr>
              <w:jc w:val="center"/>
            </w:pPr>
            <w:r>
              <w:rPr>
                <w:sz w:val="16"/>
                <w:szCs w:val="16"/>
              </w:rPr>
              <w:t xml:space="preserve">132 896 Kč</w:t>
            </w:r>
          </w:p>
        </w:tc>
        <w:tc>
          <w:tcPr>
            <w:tcW w:w="1000" w:type="dxa"/>
          </w:tcPr>
          <w:p/>
        </w:tc>
        <w:tc>
          <w:tcPr>
            <w:tcW w:w="1000" w:type="dxa"/>
          </w:tcPr>
          <w:p/>
        </w:tc>
        <w:tc>
          <w:tcPr>
            <w:tcW w:w="1000" w:type="dxa"/>
          </w:tcPr>
          <w:p/>
        </w:tc>
      </w:tr>
      <w:tr>
        <w:trPr/>
        <w:tc>
          <w:tcPr>
            <w:tcW w:w="2000" w:type="dxa"/>
          </w:tcPr>
          <w:p>
            <w:pPr/>
            <w:r>
              <w:rPr/>
              <w:t xml:space="preserve">Zlínský kraj</w:t>
            </w:r>
          </w:p>
        </w:tc>
        <w:tc>
          <w:tcPr>
            <w:tcW w:w="1000" w:type="dxa"/>
          </w:tcPr>
          <w:p>
            <w:pPr>
              <w:jc w:val="center"/>
            </w:pPr>
            <w:r>
              <w:rPr/>
              <w:t xml:space="preserve">45 235 Kč</w:t>
            </w:r>
          </w:p>
        </w:tc>
        <w:tc>
          <w:tcPr>
            <w:tcW w:w="1000" w:type="dxa"/>
          </w:tcPr>
          <w:p>
            <w:pPr>
              <w:jc w:val="center"/>
            </w:pPr>
            <w:r>
              <w:rPr>
                <w:sz w:val="16"/>
                <w:szCs w:val="16"/>
              </w:rPr>
              <w:t xml:space="preserve">134 806 Kč</w:t>
            </w:r>
          </w:p>
        </w:tc>
        <w:tc>
          <w:tcPr>
            <w:tcW w:w="1000" w:type="dxa"/>
          </w:tcPr>
          <w:p>
            <w:pPr>
              <w:jc w:val="center"/>
            </w:pPr>
            <w:r>
              <w:rPr>
                <w:sz w:val="16"/>
                <w:szCs w:val="16"/>
              </w:rPr>
              <w:t xml:space="preserve">172 619 Kč</w:t>
            </w:r>
          </w:p>
        </w:tc>
        <w:tc>
          <w:tcPr>
            <w:tcW w:w="1000" w:type="dxa"/>
          </w:tcPr>
          <w:p/>
        </w:tc>
        <w:tc>
          <w:tcPr>
            <w:tcW w:w="1000" w:type="dxa"/>
          </w:tcPr>
          <w:p/>
        </w:tc>
        <w:tc>
          <w:tcPr>
            <w:tcW w:w="1000" w:type="dxa"/>
          </w:tcPr>
          <w:p/>
        </w:tc>
      </w:tr>
      <w:tr>
        <w:trPr/>
        <w:tc>
          <w:tcPr>
            <w:tcW w:w="2000" w:type="dxa"/>
          </w:tcPr>
          <w:p>
            <w:pPr/>
            <w:r>
              <w:rPr/>
              <w:t xml:space="preserve">Moravskoslezský kraj</w:t>
            </w:r>
          </w:p>
        </w:tc>
        <w:tc>
          <w:tcPr>
            <w:tcW w:w="1000" w:type="dxa"/>
          </w:tcPr>
          <w:p>
            <w:pPr>
              <w:jc w:val="center"/>
            </w:pPr>
            <w:r>
              <w:rPr/>
              <w:t xml:space="preserve">49 459 Kč</w:t>
            </w:r>
          </w:p>
        </w:tc>
        <w:tc>
          <w:tcPr>
            <w:tcW w:w="1000" w:type="dxa"/>
          </w:tcPr>
          <w:p>
            <w:pPr>
              <w:jc w:val="center"/>
            </w:pPr>
            <w:r>
              <w:rPr/>
              <w:t xml:space="preserve">75 616 Kč</w:t>
            </w:r>
          </w:p>
        </w:tc>
        <w:tc>
          <w:tcPr>
            <w:tcW w:w="1000" w:type="dxa"/>
          </w:tcPr>
          <w:p>
            <w:pPr>
              <w:jc w:val="center"/>
            </w:pPr>
            <w:r>
              <w:rPr>
                <w:sz w:val="16"/>
                <w:szCs w:val="16"/>
              </w:rPr>
              <w:t xml:space="preserve">129 955 Kč</w:t>
            </w:r>
          </w:p>
        </w:tc>
        <w:tc>
          <w:tcPr>
            <w:tcW w:w="1000" w:type="dxa"/>
          </w:tcPr>
          <w:p/>
        </w:tc>
        <w:tc>
          <w:tcPr>
            <w:tcW w:w="1000" w:type="dxa"/>
          </w:tcPr>
          <w:p/>
        </w:tc>
        <w:tc>
          <w:tcPr>
            <w:tcW w:w="1000" w:type="dxa"/>
          </w:tcPr>
          <w:p/>
        </w:tc>
      </w:tr>
    </w:tbl>
    <w:p/>
    <w:p>
      <w:pPr>
        <w:pStyle w:val="Heading3"/>
      </w:pPr>
      <w:bookmarkStart w:id="6" w:name="_Toc6"/>
      <w:r>
        <w:t>Hrubé měsíční mzdy v roce 2025 celkem</w:t>
      </w:r>
      <w:bookmarkEnd w:id="6"/>
    </w:p>
    <w:tbl>
      <w:tblGrid>
        <w:gridCol w:w="1000" w:type="dxa"/>
        <w:gridCol w:w="2000" w:type="dxa"/>
        <w:gridCol w:w="3000" w:type="dxa"/>
        <w:gridCol w:w="3000" w:type="dxa"/>
      </w:tblGrid>
      <w:tblPr>
        <w:jc w:val="start"/>
        <w:tblW w:w="0" w:type="auto"/>
        <w:tblCellSpacing w:w="50" w:type="dxa"/>
        <w:tblLayout w:type="autofit"/>
        <w:bidiVisual w:val="0"/>
        <w:tblCellMar>
          <w:top w:w="80" w:type="dxa"/>
          <w:left w:w="80" w:type="dxa"/>
          <w:right w:w="80" w:type="dxa"/>
          <w:bottom w:w="80" w:type="dxa"/>
        </w:tblCellMar>
      </w:tblPr>
      <w:tr>
        <w:trPr/>
        <w:tc>
          <w:tcPr>
            <w:tcW w:w="3000" w:type="dxa"/>
            <w:gridSpan w:val="2"/>
          </w:tcPr>
          <w:p/>
        </w:tc>
        <w:tc>
          <w:tcPr>
            <w:tcW w:w="6000" w:type="dxa"/>
            <w:gridSpan w:val="2"/>
          </w:tcPr>
          <w:p>
            <w:pPr>
              <w:jc w:val="center"/>
            </w:pPr>
            <w:r>
              <w:rPr>
                <w:b w:val="1"/>
                <w:bCs w:val="1"/>
              </w:rPr>
              <w:t xml:space="preserve">Medián za ČR celkem</w:t>
            </w:r>
          </w:p>
        </w:tc>
      </w:tr>
      <w:tr>
        <w:trPr/>
        <w:tc>
          <w:tcPr>
            <w:tcW w:w="1000" w:type="dxa"/>
          </w:tcPr>
          <w:p>
            <w:pPr/>
            <w:r>
              <w:rPr>
                <w:b w:val="1"/>
                <w:bCs w:val="1"/>
              </w:rPr>
              <w:t xml:space="preserve">CZ-ISCO</w:t>
            </w:r>
          </w:p>
        </w:tc>
        <w:tc>
          <w:tcPr>
            <w:tcW w:w="2000" w:type="dxa"/>
          </w:tcPr>
          <w:p/>
        </w:tc>
        <w:tc>
          <w:tcPr>
            <w:tcW w:w="3000" w:type="dxa"/>
          </w:tcPr>
          <w:p>
            <w:pPr>
              <w:jc w:val="center"/>
            </w:pPr>
            <w:r>
              <w:rPr>
                <w:b w:val="1"/>
                <w:bCs w:val="1"/>
              </w:rPr>
              <w:t xml:space="preserve">Mzdová sféra</w:t>
            </w:r>
          </w:p>
        </w:tc>
        <w:tc>
          <w:tcPr>
            <w:tcW w:w="3000" w:type="dxa"/>
          </w:tcPr>
          <w:p>
            <w:pPr>
              <w:jc w:val="center"/>
            </w:pPr>
            <w:r>
              <w:rPr>
                <w:b w:val="1"/>
                <w:bCs w:val="1"/>
              </w:rPr>
              <w:t xml:space="preserve">Platová sféra</w:t>
            </w:r>
          </w:p>
        </w:tc>
      </w:tr>
      <w:tr>
        <w:trPr/>
        <w:tc>
          <w:tcPr>
            <w:tcW w:w="1000" w:type="dxa"/>
          </w:tcPr>
          <w:p>
            <w:pPr>
              <w:jc w:val="center"/>
            </w:pPr>
            <w:r>
              <w:rPr/>
              <w:t xml:space="preserve">2521</w:t>
            </w:r>
          </w:p>
        </w:tc>
        <w:tc>
          <w:tcPr>
            <w:tcW w:w="2000" w:type="dxa"/>
          </w:tcPr>
          <w:p>
            <w:pPr/>
            <w:r>
              <w:rPr/>
              <w:t xml:space="preserve">Návrháři a správci databází</w:t>
            </w:r>
          </w:p>
        </w:tc>
        <w:tc>
          <w:tcPr>
            <w:tcW w:w="1000" w:type="dxa"/>
          </w:tcPr>
          <w:p>
            <w:pPr>
              <w:jc w:val="center"/>
            </w:pPr>
            <w:r>
              <w:rPr/>
              <w:t xml:space="preserve">57 397 Kč</w:t>
            </w:r>
          </w:p>
        </w:tc>
        <w:tc>
          <w:tcPr>
            <w:tcW w:w="1000" w:type="dxa"/>
          </w:tcPr>
          <w:p>
            <w:pPr>
              <w:jc w:val="center"/>
            </w:pPr>
            <w:r>
              <w:rPr/>
              <w:t xml:space="preserve">85 937 Kč</w:t>
            </w:r>
          </w:p>
        </w:tc>
      </w:tr>
    </w:tbl>
    <w:p/>
    <w:p>
      <w:pPr>
        <w:pStyle w:val="Heading2"/>
      </w:pPr>
      <w:bookmarkStart w:id="7" w:name="_Toc7"/>
      <w:r>
        <w:t>ESCO</w:t>
      </w:r>
      <w:bookmarkEnd w:id="7"/>
    </w:p>
    <w:tbl>
      <w:tblGrid>
        <w:gridCol w:w="3000" w:type="dxa"/>
        <w:gridCol w:w="3000" w:type="dxa"/>
        <w:gridCol w:w="3000" w:type="dxa"/>
      </w:tblGrid>
      <w:tblPr>
        <w:jc w:val="start"/>
        <w:tblW w:w="0" w:type="auto"/>
        <w:tblCellSpacing w:w="50" w:type="dxa"/>
        <w:tblLayout w:type="autofit"/>
        <w:bidiVisual w:val="0"/>
        <w:tblCellMar>
          <w:top w:w="80" w:type="dxa"/>
          <w:left w:w="80" w:type="dxa"/>
          <w:right w:w="80" w:type="dxa"/>
          <w:bottom w:w="80" w:type="dxa"/>
        </w:tblCellMar>
      </w:tblPr>
      <w:tr>
        <w:trPr/>
        <w:tc>
          <w:tcPr>
            <w:tcW w:w="3000" w:type="dxa"/>
          </w:tcPr>
          <w:p>
            <w:pPr>
              <w:jc w:val="center"/>
            </w:pPr>
            <w:r>
              <w:rPr>
                <w:b w:val="1"/>
                <w:bCs w:val="1"/>
              </w:rPr>
              <w:t xml:space="preserve">Kód podskupiny</w:t>
            </w:r>
          </w:p>
        </w:tc>
        <w:tc>
          <w:tcPr>
            <w:tcW w:w="3000" w:type="dxa"/>
          </w:tcPr>
          <w:p>
            <w:pPr>
              <w:jc w:val="center"/>
            </w:pPr>
            <w:r>
              <w:rPr>
                <w:b w:val="1"/>
                <w:bCs w:val="1"/>
              </w:rPr>
              <w:t xml:space="preserve">Název podskupiny v ESCO</w:t>
            </w:r>
          </w:p>
        </w:tc>
        <w:tc>
          <w:tcPr>
            <w:tcW w:w="3000" w:type="dxa"/>
          </w:tcPr>
          <w:p>
            <w:pPr>
              <w:jc w:val="center"/>
            </w:pPr>
            <w:r>
              <w:rPr>
                <w:b w:val="1"/>
                <w:bCs w:val="1"/>
              </w:rPr>
              <w:t xml:space="preserve">URL - podskupiny v ESCO</w:t>
            </w:r>
          </w:p>
        </w:tc>
      </w:tr>
      <w:tr>
        <w:trPr/>
        <w:tc>
          <w:tcPr>
            <w:tcW w:w="3000" w:type="dxa"/>
          </w:tcPr>
          <w:p>
            <w:pPr/>
            <w:r>
              <w:rPr/>
              <w:t xml:space="preserve">2521</w:t>
            </w:r>
          </w:p>
        </w:tc>
        <w:tc>
          <w:tcPr>
            <w:tcW w:w="3000" w:type="dxa"/>
          </w:tcPr>
          <w:p>
            <w:pPr/>
            <w:r>
              <w:rPr/>
              <w:t xml:space="preserve">Návrháři a správci databází</w:t>
            </w:r>
          </w:p>
        </w:tc>
        <w:tc>
          <w:tcPr>
            <w:tcW w:w="3000" w:type="dxa"/>
          </w:tcPr>
          <w:p>
            <w:pPr/>
            <w:r>
              <w:rPr/>
              <w:t xml:space="preserve">http://data.europa.eu/esco/isco/C2521</w:t>
            </w:r>
          </w:p>
        </w:tc>
      </w:tr>
    </w:tbl>
    <w:p/>
    <w:p/>
    <w:p/>
    <w:p>
      <w:pPr>
        <w:pStyle w:val="Heading2"/>
      </w:pPr>
      <w:bookmarkStart w:id="8" w:name="_Toc8"/>
      <w:r>
        <w:t>Příklady činností</w:t>
      </w:r>
      <w:bookmarkEnd w:id="8"/>
    </w:p>
    <w:tbl>
      <w:tblGrid>
        <w:gridCol w:w="7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7000" w:type="dxa"/>
          </w:tcPr>
          <w:p>
            <w:pPr/>
            <w:r>
              <w:rPr>
                <w:b w:val="1"/>
                <w:bCs w:val="1"/>
              </w:rPr>
              <w:t xml:space="preserve">Příklady činností ze veřejného sektoru</w:t>
            </w:r>
          </w:p>
        </w:tc>
        <w:tc>
          <w:tcPr>
            <w:tcW w:w="2000" w:type="dxa"/>
          </w:tcPr>
          <w:p>
            <w:pPr>
              <w:jc w:val="center"/>
            </w:pPr>
            <w:r>
              <w:rPr>
                <w:b w:val="1"/>
                <w:bCs w:val="1"/>
              </w:rPr>
              <w:t xml:space="preserve">Platová třída</w:t>
            </w:r>
          </w:p>
        </w:tc>
      </w:tr>
      <w:tr>
        <w:trPr/>
        <w:tc>
          <w:tcPr>
            <w:tcW w:w="7000" w:type="dxa"/>
          </w:tcPr>
          <w:p>
            <w:pPr/>
            <w:r>
              <w:rPr/>
              <w:t xml:space="preserve">Řízení a koordinace správ rozsáhlých centrálních databází včetně jejich navrhování a správy.</w:t>
            </w:r>
          </w:p>
        </w:tc>
        <w:tc>
          <w:tcPr>
            <w:tcW w:w="2000" w:type="dxa"/>
          </w:tcPr>
          <w:p>
            <w:pPr>
              <w:jc w:val="center"/>
            </w:pPr>
            <w:r>
              <w:rPr/>
              <w:t xml:space="preserve">12</w:t>
            </w:r>
          </w:p>
        </w:tc>
      </w:tr>
      <w:tr>
        <w:trPr/>
        <w:tc>
          <w:tcPr>
            <w:tcW w:w="7000" w:type="dxa"/>
          </w:tcPr>
          <w:p>
            <w:pPr/>
            <w:r>
              <w:rPr/>
              <w:t xml:space="preserve">Zajišťování správy (administrování) systému výpočetní techniky. Metodické usměrňování uživatelů, definování jejich problémů a jejich řešení se všemi účastníky správy systému, například se správou operačních systémů databází, síťového prostředí, případně s dodavateli.</w:t>
            </w:r>
          </w:p>
        </w:tc>
        <w:tc>
          <w:tcPr>
            <w:tcW w:w="2000" w:type="dxa"/>
          </w:tcPr>
          <w:p>
            <w:pPr>
              <w:jc w:val="center"/>
            </w:pPr>
            <w:r>
              <w:rPr/>
              <w:t xml:space="preserve">11</w:t>
            </w:r>
          </w:p>
        </w:tc>
      </w:tr>
      <w:tr>
        <w:trPr/>
        <w:tc>
          <w:tcPr>
            <w:tcW w:w="7000" w:type="dxa"/>
          </w:tcPr>
          <w:p>
            <w:pPr/>
            <w:r>
              <w:rPr/>
              <w:t xml:space="preserve">Navrhování a optimalizace databází včetně jejich ochrany a údržby, vytváření nových modulů a nových verzí, řešení nestandardních problémů s dodavateli, aplikace aktualizací a změn.</w:t>
            </w:r>
          </w:p>
        </w:tc>
        <w:tc>
          <w:tcPr>
            <w:tcW w:w="2000" w:type="dxa"/>
          </w:tcPr>
          <w:p>
            <w:pPr>
              <w:jc w:val="center"/>
            </w:pPr>
            <w:r>
              <w:rPr/>
              <w:t xml:space="preserve">11</w:t>
            </w:r>
          </w:p>
        </w:tc>
      </w:tr>
      <w:tr>
        <w:trPr/>
        <w:tc>
          <w:tcPr>
            <w:tcW w:w="7000" w:type="dxa"/>
          </w:tcPr>
          <w:p>
            <w:pPr/>
            <w:r>
              <w:rPr/>
              <w:t xml:space="preserve">Zajišťování správné funkce a chodu vymezených uživatelských úseků informační a komunikační infrastruktury, například operačních systémů a jejich nadstaveb, programovacích prostředků, vývojových nástrojů programovacích jazyků, multimediálních systémů, komunikačních systémů, informačních systémů, vědeckých, vědeckotechnických, technických, inženýrských, grafických, kancelářských nebo jiných aplikací pro koncového uživatele, síťového prostředí, databází apod. Stanovování a organizování způsobů a postupů využívání komunikačních prostředků výpočetní techniky.</w:t>
            </w:r>
          </w:p>
        </w:tc>
        <w:tc>
          <w:tcPr>
            <w:tcW w:w="2000" w:type="dxa"/>
          </w:tcPr>
          <w:p>
            <w:pPr>
              <w:jc w:val="center"/>
            </w:pPr>
            <w:r>
              <w:rPr/>
              <w:t xml:space="preserve">10</w:t>
            </w:r>
          </w:p>
        </w:tc>
      </w:tr>
      <w:tr>
        <w:trPr/>
        <w:tc>
          <w:tcPr>
            <w:tcW w:w="7000" w:type="dxa"/>
          </w:tcPr>
          <w:p>
            <w:pPr/>
            <w:r>
              <w:rPr/>
              <w:t xml:space="preserve">Zajišťování ochrany, údržby a aktualizace složitých databází. Zajišťování integrity dat. Nastavování databází. Zajišťování servisu uživatelům na úseku správy databází. Monitorování a nastavování parametrů podle požadavků uživatelů. Projektování a koordinace servisu, údržby a správy databáze.</w:t>
            </w:r>
          </w:p>
        </w:tc>
        <w:tc>
          <w:tcPr>
            <w:tcW w:w="2000" w:type="dxa"/>
          </w:tcPr>
          <w:p>
            <w:pPr>
              <w:jc w:val="center"/>
            </w:pPr>
            <w:r>
              <w:rPr/>
              <w:t xml:space="preserve">10</w:t>
            </w:r>
          </w:p>
        </w:tc>
      </w:tr>
      <w:tr>
        <w:trPr/>
        <w:tc>
          <w:tcPr>
            <w:tcW w:w="7000" w:type="dxa"/>
          </w:tcPr>
          <w:p>
            <w:pPr/>
            <w:r>
              <w:rPr/>
              <w:t xml:space="preserve">Správa databází ve víceuživatelských počítačových systémech.</w:t>
            </w:r>
          </w:p>
        </w:tc>
        <w:tc>
          <w:tcPr>
            <w:tcW w:w="2000" w:type="dxa"/>
          </w:tcPr>
          <w:p>
            <w:pPr>
              <w:jc w:val="center"/>
            </w:pPr>
            <w:r>
              <w:rPr/>
              <w:t xml:space="preserve">9</w:t>
            </w:r>
          </w:p>
        </w:tc>
      </w:tr>
      <w:tr>
        <w:trPr/>
        <w:tc>
          <w:tcPr>
            <w:tcW w:w="7000" w:type="dxa"/>
          </w:tcPr>
          <w:p>
            <w:pPr/>
            <w:r>
              <w:rPr/>
              <w:t xml:space="preserve">Správa báze dat.</w:t>
            </w:r>
          </w:p>
        </w:tc>
        <w:tc>
          <w:tcPr>
            <w:tcW w:w="2000" w:type="dxa"/>
          </w:tcPr>
          <w:p>
            <w:pPr>
              <w:jc w:val="center"/>
            </w:pPr>
            <w:r>
              <w:rPr/>
              <w:t xml:space="preserve">8</w:t>
            </w:r>
          </w:p>
        </w:tc>
      </w:tr>
    </w:tbl>
    <w:p/>
    <w:p>
      <w:pPr>
        <w:pStyle w:val="Heading2"/>
      </w:pPr>
      <w:bookmarkStart w:id="9" w:name="_Toc9"/>
      <w:r>
        <w:t>Pracovní podmínky</w:t>
      </w:r>
      <w:bookmarkEnd w:id="9"/>
    </w:p>
    <w:p>
      <w:pPr/>
      <w:r>
        <w:rPr/>
        <w:t xml:space="preserve">Rizikové faktory pracovních podmínek a vyskytující se druhy zátěže upravuje nařízení vlády č. 361/2007 Sb., kterým se stanoví podmínky ochrany zdraví při práci, zákon č. 258/2000 Sb., o ochraně veřejného zdraví a zákon č. 262/2006 Sb., zákoník práce. Vždy vyplývají z pracovních podmínek, které se vztahují ke konkrétnímu zaměstnavateli, tudíž se mohou u různých zaměstnavatelů lišit.</w:t>
      </w:r>
    </w:p>
    <w:p/>
    <w:p>
      <w:pPr/>
      <w:r>
        <w:rPr/>
        <w:t xml:space="preserve">Určení míry výskytu faktorů, které mohou ovlivnit zdraví při práci vychází z druhu práce vykonávané na pracovišti. Faktory se zařazují do čtyř kategorií dle míry zdravotního rizika a jeho vlivu na zdraví. O zařazení prací do třetí nebo čtvrté kategorie rozhoduje příslušný orgán ochrany veřejného zdraví.</w:t>
      </w:r>
    </w:p>
    <w:p/>
    <w:p>
      <w:pPr>
        <w:numPr>
          <w:ilvl w:val="0"/>
          <w:numId w:val="5"/>
        </w:numPr>
      </w:pPr>
      <w:r>
        <w:rPr>
          <w:sz w:val="16"/>
          <w:szCs w:val="16"/>
          <w:i w:val="1"/>
          <w:iCs w:val="1"/>
        </w:rPr>
        <w:t xml:space="preserve">1. Stupeň zátěže (minimální zdravotní riziko) - Faktor se při výkonu práce nevyskytuje nebo je zátěž faktorem minimální, vliv faktoru je ze zdravotního hlediska nevýznamný.</w:t>
      </w:r>
    </w:p>
    <w:p>
      <w:pPr>
        <w:numPr>
          <w:ilvl w:val="0"/>
          <w:numId w:val="5"/>
        </w:numPr>
      </w:pPr>
      <w:r>
        <w:rPr>
          <w:sz w:val="16"/>
          <w:szCs w:val="16"/>
          <w:i w:val="1"/>
          <w:iCs w:val="1"/>
        </w:rPr>
        <w:t xml:space="preserve">2. Stupeň zátěže (únosná míra zdravotního rizika) - Ze zdravotního hlediska je míra zátěže faktorem únosná, nepřekračuje limity stanovené předpisy, vliv faktoru je akceptovatelný pro zdravého člověka.</w:t>
      </w:r>
    </w:p>
    <w:p>
      <w:pPr>
        <w:numPr>
          <w:ilvl w:val="0"/>
          <w:numId w:val="5"/>
        </w:numPr>
      </w:pPr>
      <w:r>
        <w:rPr>
          <w:sz w:val="16"/>
          <w:szCs w:val="16"/>
          <w:i w:val="1"/>
          <w:iCs w:val="1"/>
        </w:rPr>
        <w:t xml:space="preserve">3. Stupeň zátěže (významná míra zdravotního rizika) - Úroveň zátěže překračuje stanovené limitní hodnoty expozice (zátěže), na pracovištích je nutná realizace náhradních technických a organizačních opatření, nelze vyloučit negativní vliv na zdraví pracovníků.</w:t>
      </w:r>
    </w:p>
    <w:p>
      <w:pPr>
        <w:numPr>
          <w:ilvl w:val="0"/>
          <w:numId w:val="5"/>
        </w:numPr>
      </w:pPr>
      <w:r>
        <w:rPr>
          <w:sz w:val="16"/>
          <w:szCs w:val="16"/>
          <w:i w:val="1"/>
          <w:iCs w:val="1"/>
        </w:rPr>
        <w:t xml:space="preserve">4. Stupeň zátěže (vysoká míra zdravotního rizika) - Úroveň zátěže vysoce překračuje stanovené limitní hodnoty expozice, na pracovištích musí být dodržován soubor preventivních opatření, častěji dochází k poškození zdraví.</w:t>
      </w:r>
    </w:p>
    <w:p/>
    <w:p/>
    <w:p>
      <w:pPr>
        <w:pStyle w:val="Heading2"/>
      </w:pPr>
      <w:bookmarkStart w:id="10" w:name="_Toc10"/>
      <w:r>
        <w:t>Kvalifikace k výkonu povolání</w:t>
      </w:r>
      <w:bookmarkEnd w:id="10"/>
    </w:p>
    <w:p>
      <w:pPr>
        <w:pStyle w:val="Heading3"/>
      </w:pPr>
      <w:bookmarkStart w:id="11" w:name="_Toc11"/>
      <w:r>
        <w:t>Školní vzdělání</w:t>
      </w:r>
      <w:bookmarkEnd w:id="11"/>
    </w:p>
    <w:p/>
    <w:p>
      <w:pPr>
        <w:pStyle w:val="Heading4"/>
      </w:pPr>
      <w:bookmarkStart w:id="12" w:name="_Toc12"/>
      <w:r>
        <w:t>Nejvhodnější školní přípravu poskytují obory:</w:t>
      </w:r>
      <w:bookmarkEnd w:id="12"/>
    </w:p>
    <w:tbl>
      <w:tblGrid>
        <w:gridCol w:w="2000" w:type="dxa"/>
        <w:gridCol w:w="5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Typ</w:t>
            </w:r>
          </w:p>
        </w:tc>
        <w:tc>
          <w:tcPr>
            <w:tcW w:w="5000" w:type="dxa"/>
          </w:tcPr>
          <w:p>
            <w:pPr>
              <w:jc w:val="center"/>
            </w:pPr>
            <w:r>
              <w:rPr>
                <w:b w:val="1"/>
                <w:bCs w:val="1"/>
              </w:rPr>
              <w:t xml:space="preserve">Název</w:t>
            </w:r>
          </w:p>
        </w:tc>
        <w:tc>
          <w:tcPr>
            <w:tcW w:w="2000" w:type="dxa"/>
          </w:tcPr>
          <w:p>
            <w:pPr>
              <w:jc w:val="center"/>
            </w:pPr>
            <w:r>
              <w:rPr>
                <w:b w:val="1"/>
                <w:bCs w:val="1"/>
              </w:rPr>
              <w:t xml:space="preserve">Kód</w:t>
            </w:r>
          </w:p>
        </w:tc>
      </w:tr>
      <w:tr>
        <w:trPr/>
        <w:tc>
          <w:tcPr>
            <w:tcW w:w="2000" w:type="dxa"/>
          </w:tcPr>
          <w:p>
            <w:pPr>
              <w:jc w:val="center"/>
            </w:pPr>
            <w:r>
              <w:rPr/>
              <w:t xml:space="preserve">KKOV</w:t>
            </w:r>
          </w:p>
        </w:tc>
        <w:tc>
          <w:tcPr>
            <w:tcW w:w="5000" w:type="dxa"/>
          </w:tcPr>
          <w:p>
            <w:pPr/>
            <w:r>
              <w:rPr/>
              <w:t xml:space="preserve">Výpočetní technika</w:t>
            </w:r>
          </w:p>
        </w:tc>
        <w:tc>
          <w:tcPr>
            <w:tcW w:w="2000" w:type="dxa"/>
          </w:tcPr>
          <w:p>
            <w:pPr>
              <w:jc w:val="center"/>
            </w:pPr>
            <w:r>
              <w:rPr/>
              <w:t xml:space="preserve">1820M</w:t>
            </w:r>
          </w:p>
        </w:tc>
      </w:tr>
      <w:tr>
        <w:trPr/>
        <w:tc>
          <w:tcPr>
            <w:tcW w:w="2000" w:type="dxa"/>
          </w:tcPr>
          <w:p>
            <w:pPr>
              <w:jc w:val="center"/>
            </w:pPr>
            <w:r>
              <w:rPr/>
              <w:t xml:space="preserve">AKSO</w:t>
            </w:r>
          </w:p>
        </w:tc>
        <w:tc>
          <w:tcPr>
            <w:tcW w:w="5000" w:type="dxa"/>
          </w:tcPr>
          <w:p>
            <w:pPr/>
            <w:r>
              <w:rPr/>
              <w:t xml:space="preserve">Informační technologie</w:t>
            </w:r>
          </w:p>
        </w:tc>
        <w:tc>
          <w:tcPr>
            <w:tcW w:w="2000" w:type="dxa"/>
          </w:tcPr>
          <w:p>
            <w:pPr>
              <w:jc w:val="center"/>
            </w:pPr>
            <w:r>
              <w:rPr/>
              <w:t xml:space="preserve">1820M01</w:t>
            </w:r>
          </w:p>
        </w:tc>
      </w:tr>
      <w:tr>
        <w:trPr/>
        <w:tc>
          <w:tcPr>
            <w:tcW w:w="2000" w:type="dxa"/>
          </w:tcPr>
          <w:p>
            <w:pPr>
              <w:jc w:val="center"/>
            </w:pPr>
            <w:r>
              <w:rPr/>
              <w:t xml:space="preserve">AKSO</w:t>
            </w:r>
          </w:p>
        </w:tc>
        <w:tc>
          <w:tcPr>
            <w:tcW w:w="5000" w:type="dxa"/>
          </w:tcPr>
          <w:p>
            <w:pPr/>
            <w:r>
              <w:rPr/>
              <w:t xml:space="preserve">Systémy informační</w:t>
            </w:r>
          </w:p>
        </w:tc>
        <w:tc>
          <w:tcPr>
            <w:tcW w:w="2000" w:type="dxa"/>
          </w:tcPr>
          <w:p>
            <w:pPr>
              <w:jc w:val="center"/>
            </w:pPr>
            <w:r>
              <w:rPr/>
              <w:t xml:space="preserve">2631N012</w:t>
            </w:r>
          </w:p>
        </w:tc>
      </w:tr>
      <w:tr>
        <w:trPr/>
        <w:tc>
          <w:tcPr>
            <w:tcW w:w="2000" w:type="dxa"/>
          </w:tcPr>
          <w:p>
            <w:pPr>
              <w:jc w:val="center"/>
            </w:pPr>
            <w:r>
              <w:rPr/>
              <w:t xml:space="preserve">KKOV</w:t>
            </w:r>
          </w:p>
        </w:tc>
        <w:tc>
          <w:tcPr>
            <w:tcW w:w="5000" w:type="dxa"/>
          </w:tcPr>
          <w:p>
            <w:pPr/>
            <w:r>
              <w:rPr/>
              <w:t xml:space="preserve">Vyšší odborné vzdělání v oboru výpočetní technika a informační technologie</w:t>
            </w:r>
          </w:p>
        </w:tc>
        <w:tc>
          <w:tcPr>
            <w:tcW w:w="2000" w:type="dxa"/>
          </w:tcPr>
          <w:p>
            <w:pPr>
              <w:jc w:val="center"/>
            </w:pPr>
            <w:r>
              <w:rPr/>
              <w:t xml:space="preserve">2631N</w:t>
            </w:r>
          </w:p>
        </w:tc>
      </w:tr>
      <w:tr>
        <w:trPr/>
        <w:tc>
          <w:tcPr>
            <w:tcW w:w="2000" w:type="dxa"/>
          </w:tcPr>
          <w:p>
            <w:pPr>
              <w:jc w:val="center"/>
            </w:pPr>
            <w:r>
              <w:rPr/>
              <w:t xml:space="preserve">RVP</w:t>
            </w:r>
          </w:p>
        </w:tc>
        <w:tc>
          <w:tcPr>
            <w:tcW w:w="5000" w:type="dxa"/>
          </w:tcPr>
          <w:p>
            <w:pPr/>
            <w:r>
              <w:rPr/>
              <w:t xml:space="preserve">Informační technologie</w:t>
            </w:r>
          </w:p>
        </w:tc>
        <w:tc>
          <w:tcPr>
            <w:tcW w:w="2000" w:type="dxa"/>
          </w:tcPr>
          <w:p>
            <w:pPr>
              <w:jc w:val="center"/>
            </w:pPr>
            <w:r>
              <w:rPr/>
              <w:t xml:space="preserve">18-20-M/01</w:t>
            </w:r>
          </w:p>
        </w:tc>
      </w:tr>
    </w:tbl>
    <w:p/>
    <w:p>
      <w:pPr>
        <w:pStyle w:val="Heading4"/>
      </w:pPr>
      <w:bookmarkStart w:id="13" w:name="_Toc13"/>
      <w:r>
        <w:t>Vhodnou školní přípravu poskytují také obory:</w:t>
      </w:r>
      <w:bookmarkEnd w:id="13"/>
    </w:p>
    <w:tbl>
      <w:tblGrid>
        <w:gridCol w:w="2000" w:type="dxa"/>
        <w:gridCol w:w="5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Typ</w:t>
            </w:r>
          </w:p>
        </w:tc>
        <w:tc>
          <w:tcPr>
            <w:tcW w:w="5000" w:type="dxa"/>
          </w:tcPr>
          <w:p>
            <w:pPr>
              <w:jc w:val="center"/>
            </w:pPr>
            <w:r>
              <w:rPr>
                <w:b w:val="1"/>
                <w:bCs w:val="1"/>
              </w:rPr>
              <w:t xml:space="preserve">Název</w:t>
            </w:r>
          </w:p>
        </w:tc>
        <w:tc>
          <w:tcPr>
            <w:tcW w:w="2000" w:type="dxa"/>
          </w:tcPr>
          <w:p>
            <w:pPr>
              <w:jc w:val="center"/>
            </w:pPr>
            <w:r>
              <w:rPr>
                <w:b w:val="1"/>
                <w:bCs w:val="1"/>
              </w:rPr>
              <w:t xml:space="preserve">Kód</w:t>
            </w:r>
          </w:p>
        </w:tc>
      </w:tr>
      <w:tr>
        <w:trPr/>
        <w:tc>
          <w:tcPr>
            <w:tcW w:w="2000" w:type="dxa"/>
          </w:tcPr>
          <w:p>
            <w:pPr>
              <w:jc w:val="center"/>
            </w:pPr>
            <w:r>
              <w:rPr/>
              <w:t xml:space="preserve">KKOV</w:t>
            </w:r>
          </w:p>
        </w:tc>
        <w:tc>
          <w:tcPr>
            <w:tcW w:w="5000" w:type="dxa"/>
          </w:tcPr>
          <w:p>
            <w:pPr/>
            <w:r>
              <w:rPr/>
              <w:t xml:space="preserve">Střední vzdělání s maturitní zkouškou (bez vyučení) ve skupině oborů elektrotechnika, telekomunikační a výpočetní technika</w:t>
            </w:r>
          </w:p>
        </w:tc>
        <w:tc>
          <w:tcPr>
            <w:tcW w:w="2000" w:type="dxa"/>
          </w:tcPr>
          <w:p>
            <w:pPr>
              <w:jc w:val="center"/>
            </w:pPr>
            <w:r>
              <w:rPr/>
              <w:t xml:space="preserve">26xxM</w:t>
            </w:r>
          </w:p>
        </w:tc>
      </w:tr>
      <w:tr>
        <w:trPr/>
        <w:tc>
          <w:tcPr>
            <w:tcW w:w="2000" w:type="dxa"/>
          </w:tcPr>
          <w:p>
            <w:pPr>
              <w:jc w:val="center"/>
            </w:pPr>
            <w:r>
              <w:rPr/>
              <w:t xml:space="preserve">KKOV</w:t>
            </w:r>
          </w:p>
        </w:tc>
        <w:tc>
          <w:tcPr>
            <w:tcW w:w="5000" w:type="dxa"/>
          </w:tcPr>
          <w:p>
            <w:pPr/>
            <w:r>
              <w:rPr/>
              <w:t xml:space="preserve">Vyšší odborné vzdělání ve skupině oborů elektrotechnika, telekomunikační a výpočetní technika</w:t>
            </w:r>
          </w:p>
        </w:tc>
        <w:tc>
          <w:tcPr>
            <w:tcW w:w="2000" w:type="dxa"/>
          </w:tcPr>
          <w:p>
            <w:pPr>
              <w:jc w:val="center"/>
            </w:pPr>
            <w:r>
              <w:rPr/>
              <w:t xml:space="preserve">26xxN</w:t>
            </w:r>
          </w:p>
        </w:tc>
      </w:tr>
    </w:tbl>
    <w:p/>
    <w:p>
      <w:pPr>
        <w:pStyle w:val="Heading3"/>
      </w:pPr>
      <w:bookmarkStart w:id="14" w:name="_Toc14"/>
      <w:r>
        <w:t>Další vzdělání</w:t>
      </w:r>
      <w:bookmarkEnd w:id="14"/>
    </w:p>
    <w:p>
      <w:pPr>
        <w:pStyle w:val="Heading4"/>
      </w:pPr>
      <w:bookmarkStart w:id="15" w:name="_Toc15"/>
      <w:r>
        <w:t>Profesní kvalifikace</w:t>
      </w:r>
      <w:bookmarkEnd w:id="15"/>
    </w:p>
    <w:p>
      <w:pPr>
        <w:numPr>
          <w:ilvl w:val="0"/>
          <w:numId w:val="5"/>
        </w:numPr>
      </w:pPr>
      <w:r>
        <w:rPr/>
        <w:t xml:space="preserve">Správce/správkyně databází (18-009-N)</w:t>
      </w:r>
    </w:p>
    <w:p/>
    <w:p/>
    <w:p>
      <w:pPr>
        <w:pStyle w:val="Heading2"/>
      </w:pPr>
      <w:bookmarkStart w:id="16" w:name="_Toc16"/>
      <w:r>
        <w:t>Kompetenční požadavky</w:t>
      </w:r>
      <w:bookmarkEnd w:id="16"/>
    </w:p>
    <w:p>
      <w:pPr>
        <w:pStyle w:val="Heading3"/>
      </w:pPr>
      <w:bookmarkStart w:id="17" w:name="_Toc17"/>
      <w:r>
        <w:t>Odborné dovednosti</w:t>
      </w:r>
      <w:bookmarkEnd w:id="17"/>
    </w:p>
    <w:tbl>
      <w:tblGrid>
        <w:gridCol w:w="2000" w:type="dxa"/>
        <w:gridCol w:w="3000" w:type="dxa"/>
        <w:gridCol w:w="2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Kód</w:t>
            </w:r>
          </w:p>
        </w:tc>
        <w:tc>
          <w:tcPr>
            <w:tcW w:w="3000" w:type="dxa"/>
          </w:tcPr>
          <w:p>
            <w:pPr>
              <w:jc w:val="center"/>
            </w:pPr>
            <w:r>
              <w:rPr>
                <w:b w:val="1"/>
                <w:bCs w:val="1"/>
              </w:rPr>
              <w:t xml:space="preserve">Název</w:t>
            </w:r>
          </w:p>
        </w:tc>
        <w:tc>
          <w:tcPr>
            <w:tcW w:w="2000" w:type="dxa"/>
          </w:tcPr>
          <w:p>
            <w:pPr>
              <w:jc w:val="center"/>
            </w:pPr>
            <w:r>
              <w:rPr>
                <w:b w:val="1"/>
                <w:bCs w:val="1"/>
              </w:rPr>
              <w:t xml:space="preserve">Úroveň 1-8</w:t>
            </w:r>
          </w:p>
        </w:tc>
        <w:tc>
          <w:tcPr>
            <w:tcW w:w="2000" w:type="dxa"/>
          </w:tcPr>
          <w:p>
            <w:pPr/>
            <w:r>
              <w:rPr>
                <w:b w:val="1"/>
                <w:bCs w:val="1"/>
              </w:rPr>
              <w:t xml:space="preserve">Vhodnost</w:t>
            </w:r>
          </w:p>
        </w:tc>
      </w:tr>
      <w:tr>
        <w:trPr/>
        <w:tc>
          <w:tcPr>
            <w:tcW w:w="2000" w:type="dxa"/>
          </w:tcPr>
          <w:p>
            <w:pPr>
              <w:jc w:val="center"/>
            </w:pPr>
            <w:r>
              <w:rPr/>
              <w:t xml:space="preserve">j21.D.7002</w:t>
            </w:r>
          </w:p>
        </w:tc>
        <w:tc>
          <w:tcPr>
            <w:tcW w:w="3000" w:type="dxa"/>
          </w:tcPr>
          <w:p>
            <w:pPr/>
            <w:r>
              <w:rPr/>
              <w:t xml:space="preserve">Používání SQL</w:t>
            </w:r>
          </w:p>
        </w:tc>
        <w:tc>
          <w:tcPr>
            <w:tcW w:w="2000" w:type="dxa"/>
          </w:tcPr>
          <w:p>
            <w:pPr>
              <w:jc w:val="center"/>
            </w:pPr>
            <w:r>
              <w:rPr/>
              <w:t xml:space="preserve">5</w:t>
            </w:r>
          </w:p>
        </w:tc>
        <w:tc>
          <w:tcPr>
            <w:tcW w:w="2000" w:type="dxa"/>
          </w:tcPr>
          <w:p>
            <w:pPr>
              <w:jc w:val="center"/>
            </w:pPr>
            <w:r>
              <w:rPr/>
              <w:t xml:space="preserve">Nutné</w:t>
            </w:r>
          </w:p>
        </w:tc>
      </w:tr>
      <w:tr>
        <w:trPr/>
        <w:tc>
          <w:tcPr>
            <w:tcW w:w="2000" w:type="dxa"/>
          </w:tcPr>
          <w:p>
            <w:pPr>
              <w:jc w:val="center"/>
            </w:pPr>
            <w:r>
              <w:rPr/>
              <w:t xml:space="preserve">j21.D.1119</w:t>
            </w:r>
          </w:p>
        </w:tc>
        <w:tc>
          <w:tcPr>
            <w:tcW w:w="3000" w:type="dxa"/>
          </w:tcPr>
          <w:p>
            <w:pPr/>
            <w:r>
              <w:rPr/>
              <w:t xml:space="preserve">Aplikace popisu datového modelu</w:t>
            </w:r>
          </w:p>
        </w:tc>
        <w:tc>
          <w:tcPr>
            <w:tcW w:w="2000" w:type="dxa"/>
          </w:tcPr>
          <w:p>
            <w:pPr>
              <w:jc w:val="center"/>
            </w:pPr>
            <w:r>
              <w:rPr/>
              <w:t xml:space="preserve">5</w:t>
            </w:r>
          </w:p>
        </w:tc>
        <w:tc>
          <w:tcPr>
            <w:tcW w:w="2000" w:type="dxa"/>
          </w:tcPr>
          <w:p>
            <w:pPr>
              <w:jc w:val="center"/>
            </w:pPr>
            <w:r>
              <w:rPr/>
              <w:t xml:space="preserve">Nutné</w:t>
            </w:r>
          </w:p>
        </w:tc>
      </w:tr>
      <w:tr>
        <w:trPr/>
        <w:tc>
          <w:tcPr>
            <w:tcW w:w="2000" w:type="dxa"/>
          </w:tcPr>
          <w:p>
            <w:pPr>
              <w:jc w:val="center"/>
            </w:pPr>
            <w:r>
              <w:rPr/>
              <w:t xml:space="preserve">j21.D.7003</w:t>
            </w:r>
          </w:p>
        </w:tc>
        <w:tc>
          <w:tcPr>
            <w:tcW w:w="3000" w:type="dxa"/>
          </w:tcPr>
          <w:p>
            <w:pPr/>
            <w:r>
              <w:rPr/>
              <w:t xml:space="preserve">Vytvoření databáze, instalace software pro chod databáze, a dalších podpůrných software</w:t>
            </w:r>
          </w:p>
        </w:tc>
        <w:tc>
          <w:tcPr>
            <w:tcW w:w="2000" w:type="dxa"/>
          </w:tcPr>
          <w:p>
            <w:pPr>
              <w:jc w:val="center"/>
            </w:pPr>
            <w:r>
              <w:rPr/>
              <w:t xml:space="preserve">5</w:t>
            </w:r>
          </w:p>
        </w:tc>
        <w:tc>
          <w:tcPr>
            <w:tcW w:w="2000" w:type="dxa"/>
          </w:tcPr>
          <w:p>
            <w:pPr>
              <w:jc w:val="center"/>
            </w:pPr>
            <w:r>
              <w:rPr/>
              <w:t xml:space="preserve">Nutné</w:t>
            </w:r>
          </w:p>
        </w:tc>
      </w:tr>
      <w:tr>
        <w:trPr/>
        <w:tc>
          <w:tcPr>
            <w:tcW w:w="2000" w:type="dxa"/>
          </w:tcPr>
          <w:p>
            <w:pPr>
              <w:jc w:val="center"/>
            </w:pPr>
            <w:r>
              <w:rPr/>
              <w:t xml:space="preserve">j21.D.7241</w:t>
            </w:r>
          </w:p>
        </w:tc>
        <w:tc>
          <w:tcPr>
            <w:tcW w:w="3000" w:type="dxa"/>
          </w:tcPr>
          <w:p>
            <w:pPr/>
            <w:r>
              <w:rPr/>
              <w:t xml:space="preserve">Optimalizace výkonnosti databáze</w:t>
            </w:r>
          </w:p>
        </w:tc>
        <w:tc>
          <w:tcPr>
            <w:tcW w:w="2000" w:type="dxa"/>
          </w:tcPr>
          <w:p>
            <w:pPr>
              <w:jc w:val="center"/>
            </w:pPr>
            <w:r>
              <w:rPr/>
              <w:t xml:space="preserve">5</w:t>
            </w:r>
          </w:p>
        </w:tc>
        <w:tc>
          <w:tcPr>
            <w:tcW w:w="2000" w:type="dxa"/>
          </w:tcPr>
          <w:p>
            <w:pPr>
              <w:jc w:val="center"/>
            </w:pPr>
            <w:r>
              <w:rPr/>
              <w:t xml:space="preserve">Nutné</w:t>
            </w:r>
          </w:p>
        </w:tc>
      </w:tr>
      <w:tr>
        <w:trPr/>
        <w:tc>
          <w:tcPr>
            <w:tcW w:w="2000" w:type="dxa"/>
          </w:tcPr>
          <w:p>
            <w:pPr>
              <w:jc w:val="center"/>
            </w:pPr>
            <w:r>
              <w:rPr/>
              <w:t xml:space="preserve">j21.D.3443</w:t>
            </w:r>
          </w:p>
        </w:tc>
        <w:tc>
          <w:tcPr>
            <w:tcW w:w="3000" w:type="dxa"/>
          </w:tcPr>
          <w:p>
            <w:pPr/>
            <w:r>
              <w:rPr/>
              <w:t xml:space="preserve">Zajištění bezpečnosti databáze proti neoprávněnému přístupu a zneužití dat</w:t>
            </w:r>
          </w:p>
        </w:tc>
        <w:tc>
          <w:tcPr>
            <w:tcW w:w="2000" w:type="dxa"/>
          </w:tcPr>
          <w:p>
            <w:pPr>
              <w:jc w:val="center"/>
            </w:pPr>
            <w:r>
              <w:rPr/>
              <w:t xml:space="preserve">5</w:t>
            </w:r>
          </w:p>
        </w:tc>
        <w:tc>
          <w:tcPr>
            <w:tcW w:w="2000" w:type="dxa"/>
          </w:tcPr>
          <w:p>
            <w:pPr>
              <w:jc w:val="center"/>
            </w:pPr>
            <w:r>
              <w:rPr/>
              <w:t xml:space="preserve">Nutné</w:t>
            </w:r>
          </w:p>
        </w:tc>
      </w:tr>
      <w:tr>
        <w:trPr/>
        <w:tc>
          <w:tcPr>
            <w:tcW w:w="2000" w:type="dxa"/>
          </w:tcPr>
          <w:p>
            <w:pPr>
              <w:jc w:val="center"/>
            </w:pPr>
            <w:r>
              <w:rPr/>
              <w:t xml:space="preserve">j21.D.3012</w:t>
            </w:r>
          </w:p>
        </w:tc>
        <w:tc>
          <w:tcPr>
            <w:tcW w:w="3000" w:type="dxa"/>
          </w:tcPr>
          <w:p>
            <w:pPr/>
            <w:r>
              <w:rPr/>
              <w:t xml:space="preserve">Udržování provozuschopnosti databází</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j22.B.8751</w:t>
            </w:r>
          </w:p>
        </w:tc>
        <w:tc>
          <w:tcPr>
            <w:tcW w:w="3000" w:type="dxa"/>
          </w:tcPr>
          <w:p>
            <w:pPr/>
            <w:r>
              <w:rPr/>
              <w:t xml:space="preserve">Vedení a aktualizace příslušných databází</w:t>
            </w:r>
          </w:p>
        </w:tc>
        <w:tc>
          <w:tcPr>
            <w:tcW w:w="2000" w:type="dxa"/>
          </w:tcPr>
          <w:p>
            <w:pPr>
              <w:jc w:val="center"/>
            </w:pPr>
            <w:r>
              <w:rPr/>
              <w:t xml:space="preserve">5</w:t>
            </w:r>
          </w:p>
        </w:tc>
        <w:tc>
          <w:tcPr>
            <w:tcW w:w="2000" w:type="dxa"/>
          </w:tcPr>
          <w:p>
            <w:pPr>
              <w:jc w:val="center"/>
            </w:pPr>
            <w:r>
              <w:rPr/>
              <w:t xml:space="preserve">Nutné</w:t>
            </w:r>
          </w:p>
        </w:tc>
      </w:tr>
    </w:tbl>
    <w:p>
      <w:pPr/>
      <w:r>
        <w:rPr>
          <w:sz w:val="16"/>
          <w:szCs w:val="16"/>
          <w:i w:val="1"/>
          <w:iCs w:val="1"/>
        </w:rPr>
        <w:t xml:space="preserve">Popisy úrovní naleznete zde: https://nsp.cz/downloads/Priloha_c2_manualu.pdf</w:t>
      </w:r>
    </w:p>
    <w:p/>
    <w:p>
      <w:pPr>
        <w:pStyle w:val="Heading3"/>
      </w:pPr>
      <w:bookmarkStart w:id="18" w:name="_Toc18"/>
      <w:r>
        <w:t>Odborné znalosti</w:t>
      </w:r>
      <w:bookmarkEnd w:id="18"/>
    </w:p>
    <w:tbl>
      <w:tblGrid>
        <w:gridCol w:w="2000" w:type="dxa"/>
        <w:gridCol w:w="3000" w:type="dxa"/>
        <w:gridCol w:w="2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Kód</w:t>
            </w:r>
          </w:p>
        </w:tc>
        <w:tc>
          <w:tcPr>
            <w:tcW w:w="3000" w:type="dxa"/>
          </w:tcPr>
          <w:p>
            <w:pPr>
              <w:jc w:val="center"/>
            </w:pPr>
            <w:r>
              <w:rPr>
                <w:b w:val="1"/>
                <w:bCs w:val="1"/>
              </w:rPr>
              <w:t xml:space="preserve">Název</w:t>
            </w:r>
          </w:p>
        </w:tc>
        <w:tc>
          <w:tcPr>
            <w:tcW w:w="2000" w:type="dxa"/>
          </w:tcPr>
          <w:p>
            <w:pPr>
              <w:jc w:val="center"/>
            </w:pPr>
            <w:r>
              <w:rPr>
                <w:b w:val="1"/>
                <w:bCs w:val="1"/>
              </w:rPr>
              <w:t xml:space="preserve">Úroveň 1-8</w:t>
            </w:r>
          </w:p>
        </w:tc>
        <w:tc>
          <w:tcPr>
            <w:tcW w:w="2000" w:type="dxa"/>
          </w:tcPr>
          <w:p>
            <w:pPr/>
            <w:r>
              <w:rPr>
                <w:b w:val="1"/>
                <w:bCs w:val="1"/>
              </w:rPr>
              <w:t xml:space="preserve">Vhodnost</w:t>
            </w:r>
          </w:p>
        </w:tc>
      </w:tr>
      <w:tr>
        <w:trPr/>
        <w:tc>
          <w:tcPr>
            <w:tcW w:w="2000" w:type="dxa"/>
          </w:tcPr>
          <w:p>
            <w:pPr>
              <w:jc w:val="center"/>
            </w:pPr>
            <w:r>
              <w:rPr/>
              <w:t xml:space="preserve">j21._.0001</w:t>
            </w:r>
          </w:p>
        </w:tc>
        <w:tc>
          <w:tcPr>
            <w:tcW w:w="3000" w:type="dxa"/>
          </w:tcPr>
          <w:p>
            <w:pPr/>
            <w:r>
              <w:rPr/>
              <w:t xml:space="preserve">informatika</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j21._.0011</w:t>
            </w:r>
          </w:p>
        </w:tc>
        <w:tc>
          <w:tcPr>
            <w:tcW w:w="3000" w:type="dxa"/>
          </w:tcPr>
          <w:p>
            <w:pPr/>
            <w:r>
              <w:rPr/>
              <w:t xml:space="preserve">algoritmizace úloh</w:t>
            </w:r>
          </w:p>
        </w:tc>
        <w:tc>
          <w:tcPr>
            <w:tcW w:w="2000" w:type="dxa"/>
          </w:tcPr>
          <w:p>
            <w:pPr>
              <w:jc w:val="center"/>
            </w:pPr>
            <w:r>
              <w:rPr/>
              <w:t xml:space="preserve">5</w:t>
            </w:r>
          </w:p>
        </w:tc>
        <w:tc>
          <w:tcPr>
            <w:tcW w:w="2000" w:type="dxa"/>
          </w:tcPr>
          <w:p>
            <w:pPr>
              <w:jc w:val="center"/>
            </w:pPr>
            <w:r>
              <w:rPr/>
              <w:t xml:space="preserve">Nutné</w:t>
            </w:r>
          </w:p>
        </w:tc>
      </w:tr>
      <w:tr>
        <w:trPr/>
        <w:tc>
          <w:tcPr>
            <w:tcW w:w="2000" w:type="dxa"/>
          </w:tcPr>
          <w:p>
            <w:pPr>
              <w:jc w:val="center"/>
            </w:pPr>
            <w:r>
              <w:rPr/>
              <w:t xml:space="preserve">j21._.0021</w:t>
            </w:r>
          </w:p>
        </w:tc>
        <w:tc>
          <w:tcPr>
            <w:tcW w:w="3000" w:type="dxa"/>
          </w:tcPr>
          <w:p>
            <w:pPr/>
            <w:r>
              <w:rPr/>
              <w:t xml:space="preserve">vlastnosti informačních systémů</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j21._.0022</w:t>
            </w:r>
          </w:p>
        </w:tc>
        <w:tc>
          <w:tcPr>
            <w:tcW w:w="3000" w:type="dxa"/>
          </w:tcPr>
          <w:p>
            <w:pPr/>
            <w:r>
              <w:rPr/>
              <w:t xml:space="preserve">analýzy uživatelských požadavků, podmínek, prostředí</w:t>
            </w:r>
          </w:p>
        </w:tc>
        <w:tc>
          <w:tcPr>
            <w:tcW w:w="2000" w:type="dxa"/>
          </w:tcPr>
          <w:p>
            <w:pPr>
              <w:jc w:val="center"/>
            </w:pPr>
            <w:r>
              <w:rPr/>
              <w:t xml:space="preserve">5</w:t>
            </w:r>
          </w:p>
        </w:tc>
        <w:tc>
          <w:tcPr>
            <w:tcW w:w="2000" w:type="dxa"/>
          </w:tcPr>
          <w:p>
            <w:pPr>
              <w:jc w:val="center"/>
            </w:pPr>
            <w:r>
              <w:rPr/>
              <w:t xml:space="preserve">Nutné</w:t>
            </w:r>
          </w:p>
        </w:tc>
      </w:tr>
      <w:tr>
        <w:trPr/>
        <w:tc>
          <w:tcPr>
            <w:tcW w:w="2000" w:type="dxa"/>
          </w:tcPr>
          <w:p>
            <w:pPr>
              <w:jc w:val="center"/>
            </w:pPr>
            <w:r>
              <w:rPr/>
              <w:t xml:space="preserve">j21._.0023</w:t>
            </w:r>
          </w:p>
        </w:tc>
        <w:tc>
          <w:tcPr>
            <w:tcW w:w="3000" w:type="dxa"/>
          </w:tcPr>
          <w:p>
            <w:pPr/>
            <w:r>
              <w:rPr/>
              <w:t xml:space="preserve">projektování informačních systémů</w:t>
            </w:r>
          </w:p>
        </w:tc>
        <w:tc>
          <w:tcPr>
            <w:tcW w:w="2000" w:type="dxa"/>
          </w:tcPr>
          <w:p>
            <w:pPr>
              <w:jc w:val="center"/>
            </w:pPr>
            <w:r>
              <w:rPr/>
              <w:t xml:space="preserve">4</w:t>
            </w:r>
          </w:p>
        </w:tc>
        <w:tc>
          <w:tcPr>
            <w:tcW w:w="2000" w:type="dxa"/>
          </w:tcPr>
          <w:p>
            <w:pPr>
              <w:jc w:val="center"/>
            </w:pPr>
            <w:r>
              <w:rPr/>
              <w:t xml:space="preserve">Nutné</w:t>
            </w:r>
          </w:p>
        </w:tc>
      </w:tr>
      <w:tr>
        <w:trPr/>
        <w:tc>
          <w:tcPr>
            <w:tcW w:w="2000" w:type="dxa"/>
          </w:tcPr>
          <w:p>
            <w:pPr>
              <w:jc w:val="center"/>
            </w:pPr>
            <w:r>
              <w:rPr/>
              <w:t xml:space="preserve">j22._.0013</w:t>
            </w:r>
          </w:p>
        </w:tc>
        <w:tc>
          <w:tcPr>
            <w:tcW w:w="3000" w:type="dxa"/>
          </w:tcPr>
          <w:p>
            <w:pPr/>
            <w:r>
              <w:rPr/>
              <w:t xml:space="preserve">práce s databázemi</w:t>
            </w:r>
          </w:p>
        </w:tc>
        <w:tc>
          <w:tcPr>
            <w:tcW w:w="2000" w:type="dxa"/>
          </w:tcPr>
          <w:p>
            <w:pPr>
              <w:jc w:val="center"/>
            </w:pPr>
            <w:r>
              <w:rPr/>
              <w:t xml:space="preserve">5</w:t>
            </w:r>
          </w:p>
        </w:tc>
        <w:tc>
          <w:tcPr>
            <w:tcW w:w="2000" w:type="dxa"/>
          </w:tcPr>
          <w:p>
            <w:pPr>
              <w:jc w:val="center"/>
            </w:pPr>
            <w:r>
              <w:rPr/>
              <w:t xml:space="preserve">Nutné</w:t>
            </w:r>
          </w:p>
        </w:tc>
      </w:tr>
      <w:tr>
        <w:trPr/>
        <w:tc>
          <w:tcPr>
            <w:tcW w:w="2000" w:type="dxa"/>
          </w:tcPr>
          <w:p>
            <w:pPr>
              <w:jc w:val="center"/>
            </w:pPr>
            <w:r>
              <w:rPr/>
              <w:t xml:space="preserve">j21._.0013</w:t>
            </w:r>
          </w:p>
        </w:tc>
        <w:tc>
          <w:tcPr>
            <w:tcW w:w="3000" w:type="dxa"/>
          </w:tcPr>
          <w:p>
            <w:pPr/>
            <w:r>
              <w:rPr/>
              <w:t xml:space="preserve">softwarová prostředí, operační systémy</w:t>
            </w:r>
          </w:p>
        </w:tc>
        <w:tc>
          <w:tcPr>
            <w:tcW w:w="2000" w:type="dxa"/>
          </w:tcPr>
          <w:p>
            <w:pPr>
              <w:jc w:val="center"/>
            </w:pPr>
            <w:r>
              <w:rPr/>
              <w:t xml:space="preserve">5</w:t>
            </w:r>
          </w:p>
        </w:tc>
        <w:tc>
          <w:tcPr>
            <w:tcW w:w="2000" w:type="dxa"/>
          </w:tcPr>
          <w:p>
            <w:pPr>
              <w:jc w:val="center"/>
            </w:pPr>
            <w:r>
              <w:rPr/>
              <w:t xml:space="preserve">Nutné</w:t>
            </w:r>
          </w:p>
        </w:tc>
      </w:tr>
    </w:tbl>
    <w:p>
      <w:pPr/>
      <w:r>
        <w:rPr>
          <w:sz w:val="16"/>
          <w:szCs w:val="16"/>
          <w:i w:val="1"/>
          <w:iCs w:val="1"/>
        </w:rPr>
        <w:t xml:space="preserve">Popisy úrovní naleznete zde: https://nsp.cz/downloads/Priloha_c2_manualu.pdf</w:t>
      </w:r>
    </w:p>
    <w:p/>
    <w:p>
      <w:pPr>
        <w:pStyle w:val="Heading3"/>
      </w:pPr>
      <w:bookmarkStart w:id="19" w:name="_Toc19"/>
      <w:r>
        <w:t>Digitální kompetence</w:t>
      </w:r>
      <w:bookmarkEnd w:id="19"/>
    </w:p>
    <w:tbl>
      <w:tblGrid>
        <w:gridCol w:w="2000" w:type="dxa"/>
        <w:gridCol w:w="5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Kód</w:t>
            </w:r>
          </w:p>
        </w:tc>
        <w:tc>
          <w:tcPr>
            <w:tcW w:w="5000" w:type="dxa"/>
          </w:tcPr>
          <w:p>
            <w:pPr>
              <w:jc w:val="center"/>
            </w:pPr>
            <w:r>
              <w:rPr>
                <w:b w:val="1"/>
                <w:bCs w:val="1"/>
              </w:rPr>
              <w:t xml:space="preserve">Název</w:t>
            </w:r>
          </w:p>
        </w:tc>
        <w:tc>
          <w:tcPr>
            <w:tcW w:w="2000" w:type="dxa"/>
          </w:tcPr>
          <w:p>
            <w:pPr>
              <w:jc w:val="center"/>
            </w:pPr>
            <w:r>
              <w:rPr>
                <w:b w:val="1"/>
                <w:bCs w:val="1"/>
              </w:rPr>
              <w:t xml:space="preserve">Úroveň 1-4</w:t>
            </w:r>
          </w:p>
        </w:tc>
      </w:tr>
      <w:tr>
        <w:trPr/>
        <w:tc>
          <w:tcPr>
            <w:tcW w:w="2000" w:type="dxa"/>
          </w:tcPr>
          <w:p>
            <w:pPr>
              <w:jc w:val="center"/>
            </w:pPr>
            <w:r>
              <w:rPr/>
              <w:t xml:space="preserve">1.1</w:t>
            </w:r>
          </w:p>
        </w:tc>
        <w:tc>
          <w:tcPr>
            <w:tcW w:w="5000" w:type="dxa"/>
          </w:tcPr>
          <w:p>
            <w:pPr/>
            <w:r>
              <w:rPr/>
              <w:t xml:space="preserve">Prohlížení, vyhledávání a filtrování dat, informací a digitálního obsahu  </w:t>
            </w:r>
          </w:p>
        </w:tc>
        <w:tc>
          <w:tcPr>
            <w:tcW w:w="2000" w:type="dxa"/>
          </w:tcPr>
          <w:p>
            <w:pPr>
              <w:jc w:val="center"/>
            </w:pPr>
            <w:r>
              <w:rPr/>
              <w:t xml:space="preserve">3</w:t>
            </w:r>
          </w:p>
        </w:tc>
      </w:tr>
      <w:tr>
        <w:trPr/>
        <w:tc>
          <w:tcPr>
            <w:tcW w:w="2000" w:type="dxa"/>
          </w:tcPr>
          <w:p>
            <w:pPr>
              <w:jc w:val="center"/>
            </w:pPr>
            <w:r>
              <w:rPr/>
              <w:t xml:space="preserve">5.3</w:t>
            </w:r>
          </w:p>
        </w:tc>
        <w:tc>
          <w:tcPr>
            <w:tcW w:w="5000" w:type="dxa"/>
          </w:tcPr>
          <w:p>
            <w:pPr/>
            <w:r>
              <w:rPr/>
              <w:t xml:space="preserve">Kreativní využívání digitálních technologií  </w:t>
            </w:r>
          </w:p>
        </w:tc>
        <w:tc>
          <w:tcPr>
            <w:tcW w:w="2000" w:type="dxa"/>
          </w:tcPr>
          <w:p>
            <w:pPr>
              <w:jc w:val="center"/>
            </w:pPr>
            <w:r>
              <w:rPr/>
              <w:t xml:space="preserve">4</w:t>
            </w:r>
          </w:p>
        </w:tc>
      </w:tr>
      <w:tr>
        <w:trPr/>
        <w:tc>
          <w:tcPr>
            <w:tcW w:w="2000" w:type="dxa"/>
          </w:tcPr>
          <w:p>
            <w:pPr>
              <w:jc w:val="center"/>
            </w:pPr>
            <w:r>
              <w:rPr/>
              <w:t xml:space="preserve">5.2</w:t>
            </w:r>
          </w:p>
        </w:tc>
        <w:tc>
          <w:tcPr>
            <w:tcW w:w="5000" w:type="dxa"/>
          </w:tcPr>
          <w:p>
            <w:pPr/>
            <w:r>
              <w:rPr/>
              <w:t xml:space="preserve">Identifikace potřeb a výběr vhodných technologií  </w:t>
            </w:r>
          </w:p>
        </w:tc>
        <w:tc>
          <w:tcPr>
            <w:tcW w:w="2000" w:type="dxa"/>
          </w:tcPr>
          <w:p>
            <w:pPr>
              <w:jc w:val="center"/>
            </w:pPr>
            <w:r>
              <w:rPr/>
              <w:t xml:space="preserve">4</w:t>
            </w:r>
          </w:p>
        </w:tc>
      </w:tr>
      <w:tr>
        <w:trPr/>
        <w:tc>
          <w:tcPr>
            <w:tcW w:w="2000" w:type="dxa"/>
          </w:tcPr>
          <w:p>
            <w:pPr>
              <w:jc w:val="center"/>
            </w:pPr>
            <w:r>
              <w:rPr/>
              <w:t xml:space="preserve">5.1</w:t>
            </w:r>
          </w:p>
        </w:tc>
        <w:tc>
          <w:tcPr>
            <w:tcW w:w="5000" w:type="dxa"/>
          </w:tcPr>
          <w:p>
            <w:pPr/>
            <w:r>
              <w:rPr/>
              <w:t xml:space="preserve">Řešení technických problémů  </w:t>
            </w:r>
          </w:p>
        </w:tc>
        <w:tc>
          <w:tcPr>
            <w:tcW w:w="2000" w:type="dxa"/>
          </w:tcPr>
          <w:p>
            <w:pPr>
              <w:jc w:val="center"/>
            </w:pPr>
            <w:r>
              <w:rPr/>
              <w:t xml:space="preserve">4</w:t>
            </w:r>
          </w:p>
        </w:tc>
      </w:tr>
      <w:tr>
        <w:trPr/>
        <w:tc>
          <w:tcPr>
            <w:tcW w:w="2000" w:type="dxa"/>
          </w:tcPr>
          <w:p>
            <w:pPr>
              <w:jc w:val="center"/>
            </w:pPr>
            <w:r>
              <w:rPr/>
              <w:t xml:space="preserve">4.4</w:t>
            </w:r>
          </w:p>
        </w:tc>
        <w:tc>
          <w:tcPr>
            <w:tcW w:w="5000" w:type="dxa"/>
          </w:tcPr>
          <w:p>
            <w:pPr/>
            <w:r>
              <w:rPr/>
              <w:t xml:space="preserve">Ochrana životního prostředí  </w:t>
            </w:r>
          </w:p>
        </w:tc>
        <w:tc>
          <w:tcPr>
            <w:tcW w:w="2000" w:type="dxa"/>
          </w:tcPr>
          <w:p>
            <w:pPr>
              <w:jc w:val="center"/>
            </w:pPr>
            <w:r>
              <w:rPr/>
              <w:t xml:space="preserve">3</w:t>
            </w:r>
          </w:p>
        </w:tc>
      </w:tr>
      <w:tr>
        <w:trPr/>
        <w:tc>
          <w:tcPr>
            <w:tcW w:w="2000" w:type="dxa"/>
          </w:tcPr>
          <w:p>
            <w:pPr>
              <w:jc w:val="center"/>
            </w:pPr>
            <w:r>
              <w:rPr/>
              <w:t xml:space="preserve">4.3</w:t>
            </w:r>
          </w:p>
        </w:tc>
        <w:tc>
          <w:tcPr>
            <w:tcW w:w="5000" w:type="dxa"/>
          </w:tcPr>
          <w:p>
            <w:pPr/>
            <w:r>
              <w:rPr/>
              <w:t xml:space="preserve">Ochrana zdraví a duševní pohody  </w:t>
            </w:r>
          </w:p>
        </w:tc>
        <w:tc>
          <w:tcPr>
            <w:tcW w:w="2000" w:type="dxa"/>
          </w:tcPr>
          <w:p>
            <w:pPr>
              <w:jc w:val="center"/>
            </w:pPr>
            <w:r>
              <w:rPr/>
              <w:t xml:space="preserve">3</w:t>
            </w:r>
          </w:p>
        </w:tc>
      </w:tr>
      <w:tr>
        <w:trPr/>
        <w:tc>
          <w:tcPr>
            <w:tcW w:w="2000" w:type="dxa"/>
          </w:tcPr>
          <w:p>
            <w:pPr>
              <w:jc w:val="center"/>
            </w:pPr>
            <w:r>
              <w:rPr/>
              <w:t xml:space="preserve">4.2</w:t>
            </w:r>
          </w:p>
        </w:tc>
        <w:tc>
          <w:tcPr>
            <w:tcW w:w="5000" w:type="dxa"/>
          </w:tcPr>
          <w:p>
            <w:pPr/>
            <w:r>
              <w:rPr/>
              <w:t xml:space="preserve">Ochrana osobních dat a soukromí  </w:t>
            </w:r>
          </w:p>
        </w:tc>
        <w:tc>
          <w:tcPr>
            <w:tcW w:w="2000" w:type="dxa"/>
          </w:tcPr>
          <w:p>
            <w:pPr>
              <w:jc w:val="center"/>
            </w:pPr>
            <w:r>
              <w:rPr/>
              <w:t xml:space="preserve">3</w:t>
            </w:r>
          </w:p>
        </w:tc>
      </w:tr>
      <w:tr>
        <w:trPr/>
        <w:tc>
          <w:tcPr>
            <w:tcW w:w="2000" w:type="dxa"/>
          </w:tcPr>
          <w:p>
            <w:pPr>
              <w:jc w:val="center"/>
            </w:pPr>
            <w:r>
              <w:rPr/>
              <w:t xml:space="preserve">4.1</w:t>
            </w:r>
          </w:p>
        </w:tc>
        <w:tc>
          <w:tcPr>
            <w:tcW w:w="5000" w:type="dxa"/>
          </w:tcPr>
          <w:p>
            <w:pPr/>
            <w:r>
              <w:rPr/>
              <w:t xml:space="preserve">Ochrana zařízení  </w:t>
            </w:r>
          </w:p>
        </w:tc>
        <w:tc>
          <w:tcPr>
            <w:tcW w:w="2000" w:type="dxa"/>
          </w:tcPr>
          <w:p>
            <w:pPr>
              <w:jc w:val="center"/>
            </w:pPr>
            <w:r>
              <w:rPr/>
              <w:t xml:space="preserve">3</w:t>
            </w:r>
          </w:p>
        </w:tc>
      </w:tr>
      <w:tr>
        <w:trPr/>
        <w:tc>
          <w:tcPr>
            <w:tcW w:w="2000" w:type="dxa"/>
          </w:tcPr>
          <w:p>
            <w:pPr>
              <w:jc w:val="center"/>
            </w:pPr>
            <w:r>
              <w:rPr/>
              <w:t xml:space="preserve">3.3</w:t>
            </w:r>
          </w:p>
        </w:tc>
        <w:tc>
          <w:tcPr>
            <w:tcW w:w="5000" w:type="dxa"/>
          </w:tcPr>
          <w:p>
            <w:pPr/>
            <w:r>
              <w:rPr/>
              <w:t xml:space="preserve">Autorská práva a licence  </w:t>
            </w:r>
          </w:p>
        </w:tc>
        <w:tc>
          <w:tcPr>
            <w:tcW w:w="2000" w:type="dxa"/>
          </w:tcPr>
          <w:p>
            <w:pPr>
              <w:jc w:val="center"/>
            </w:pPr>
            <w:r>
              <w:rPr/>
              <w:t xml:space="preserve">3</w:t>
            </w:r>
          </w:p>
        </w:tc>
      </w:tr>
      <w:tr>
        <w:trPr/>
        <w:tc>
          <w:tcPr>
            <w:tcW w:w="2000" w:type="dxa"/>
          </w:tcPr>
          <w:p>
            <w:pPr>
              <w:jc w:val="center"/>
            </w:pPr>
            <w:r>
              <w:rPr/>
              <w:t xml:space="preserve">3.2</w:t>
            </w:r>
          </w:p>
        </w:tc>
        <w:tc>
          <w:tcPr>
            <w:tcW w:w="5000" w:type="dxa"/>
          </w:tcPr>
          <w:p>
            <w:pPr/>
            <w:r>
              <w:rPr/>
              <w:t xml:space="preserve">Integrace a přepracování digitálního obsahu  </w:t>
            </w:r>
          </w:p>
        </w:tc>
        <w:tc>
          <w:tcPr>
            <w:tcW w:w="2000" w:type="dxa"/>
          </w:tcPr>
          <w:p>
            <w:pPr>
              <w:jc w:val="center"/>
            </w:pPr>
            <w:r>
              <w:rPr/>
              <w:t xml:space="preserve">4</w:t>
            </w:r>
          </w:p>
        </w:tc>
      </w:tr>
      <w:tr>
        <w:trPr/>
        <w:tc>
          <w:tcPr>
            <w:tcW w:w="2000" w:type="dxa"/>
          </w:tcPr>
          <w:p>
            <w:pPr>
              <w:jc w:val="center"/>
            </w:pPr>
            <w:r>
              <w:rPr/>
              <w:t xml:space="preserve">3.1</w:t>
            </w:r>
          </w:p>
        </w:tc>
        <w:tc>
          <w:tcPr>
            <w:tcW w:w="5000" w:type="dxa"/>
          </w:tcPr>
          <w:p>
            <w:pPr/>
            <w:r>
              <w:rPr/>
              <w:t xml:space="preserve">Tvorba digitálního obsahu  </w:t>
            </w:r>
          </w:p>
        </w:tc>
        <w:tc>
          <w:tcPr>
            <w:tcW w:w="2000" w:type="dxa"/>
          </w:tcPr>
          <w:p>
            <w:pPr>
              <w:jc w:val="center"/>
            </w:pPr>
            <w:r>
              <w:rPr/>
              <w:t xml:space="preserve">3</w:t>
            </w:r>
          </w:p>
        </w:tc>
      </w:tr>
      <w:tr>
        <w:trPr/>
        <w:tc>
          <w:tcPr>
            <w:tcW w:w="2000" w:type="dxa"/>
          </w:tcPr>
          <w:p>
            <w:pPr>
              <w:jc w:val="center"/>
            </w:pPr>
            <w:r>
              <w:rPr/>
              <w:t xml:space="preserve">2.5</w:t>
            </w:r>
          </w:p>
        </w:tc>
        <w:tc>
          <w:tcPr>
            <w:tcW w:w="5000" w:type="dxa"/>
          </w:tcPr>
          <w:p>
            <w:pPr/>
            <w:r>
              <w:rPr/>
              <w:t xml:space="preserve">Netiketa  </w:t>
            </w:r>
          </w:p>
        </w:tc>
        <w:tc>
          <w:tcPr>
            <w:tcW w:w="2000" w:type="dxa"/>
          </w:tcPr>
          <w:p>
            <w:pPr>
              <w:jc w:val="center"/>
            </w:pPr>
            <w:r>
              <w:rPr/>
              <w:t xml:space="preserve">2</w:t>
            </w:r>
          </w:p>
        </w:tc>
      </w:tr>
      <w:tr>
        <w:trPr/>
        <w:tc>
          <w:tcPr>
            <w:tcW w:w="2000" w:type="dxa"/>
          </w:tcPr>
          <w:p>
            <w:pPr>
              <w:jc w:val="center"/>
            </w:pPr>
            <w:r>
              <w:rPr/>
              <w:t xml:space="preserve">2.4</w:t>
            </w:r>
          </w:p>
        </w:tc>
        <w:tc>
          <w:tcPr>
            <w:tcW w:w="5000" w:type="dxa"/>
          </w:tcPr>
          <w:p>
            <w:pPr/>
            <w:r>
              <w:rPr/>
              <w:t xml:space="preserve">Spolupráce prostřednictvím digitálních technologií  </w:t>
            </w:r>
          </w:p>
        </w:tc>
        <w:tc>
          <w:tcPr>
            <w:tcW w:w="2000" w:type="dxa"/>
          </w:tcPr>
          <w:p>
            <w:pPr>
              <w:jc w:val="center"/>
            </w:pPr>
            <w:r>
              <w:rPr/>
              <w:t xml:space="preserve">4</w:t>
            </w:r>
          </w:p>
        </w:tc>
      </w:tr>
      <w:tr>
        <w:trPr/>
        <w:tc>
          <w:tcPr>
            <w:tcW w:w="2000" w:type="dxa"/>
          </w:tcPr>
          <w:p>
            <w:pPr>
              <w:jc w:val="center"/>
            </w:pPr>
            <w:r>
              <w:rPr/>
              <w:t xml:space="preserve">2.2</w:t>
            </w:r>
          </w:p>
        </w:tc>
        <w:tc>
          <w:tcPr>
            <w:tcW w:w="5000" w:type="dxa"/>
          </w:tcPr>
          <w:p>
            <w:pPr/>
            <w:r>
              <w:rPr/>
              <w:t xml:space="preserve">Sdílení prostřednictvím digitálních technologií  </w:t>
            </w:r>
          </w:p>
        </w:tc>
        <w:tc>
          <w:tcPr>
            <w:tcW w:w="2000" w:type="dxa"/>
          </w:tcPr>
          <w:p>
            <w:pPr>
              <w:jc w:val="center"/>
            </w:pPr>
            <w:r>
              <w:rPr/>
              <w:t xml:space="preserve">4</w:t>
            </w:r>
          </w:p>
        </w:tc>
      </w:tr>
      <w:tr>
        <w:trPr/>
        <w:tc>
          <w:tcPr>
            <w:tcW w:w="2000" w:type="dxa"/>
          </w:tcPr>
          <w:p>
            <w:pPr>
              <w:jc w:val="center"/>
            </w:pPr>
            <w:r>
              <w:rPr/>
              <w:t xml:space="preserve">2.1</w:t>
            </w:r>
          </w:p>
        </w:tc>
        <w:tc>
          <w:tcPr>
            <w:tcW w:w="5000" w:type="dxa"/>
          </w:tcPr>
          <w:p>
            <w:pPr/>
            <w:r>
              <w:rPr/>
              <w:t xml:space="preserve">Interakce prostřednictvím digitálních technologií  </w:t>
            </w:r>
          </w:p>
        </w:tc>
        <w:tc>
          <w:tcPr>
            <w:tcW w:w="2000" w:type="dxa"/>
          </w:tcPr>
          <w:p>
            <w:pPr>
              <w:jc w:val="center"/>
            </w:pPr>
            <w:r>
              <w:rPr/>
              <w:t xml:space="preserve">3</w:t>
            </w:r>
          </w:p>
        </w:tc>
      </w:tr>
      <w:tr>
        <w:trPr/>
        <w:tc>
          <w:tcPr>
            <w:tcW w:w="2000" w:type="dxa"/>
          </w:tcPr>
          <w:p>
            <w:pPr>
              <w:jc w:val="center"/>
            </w:pPr>
            <w:r>
              <w:rPr/>
              <w:t xml:space="preserve">1.3</w:t>
            </w:r>
          </w:p>
        </w:tc>
        <w:tc>
          <w:tcPr>
            <w:tcW w:w="5000" w:type="dxa"/>
          </w:tcPr>
          <w:p>
            <w:pPr/>
            <w:r>
              <w:rPr/>
              <w:t xml:space="preserve">Správa dat, informací a digitálního obsahu  </w:t>
            </w:r>
          </w:p>
        </w:tc>
        <w:tc>
          <w:tcPr>
            <w:tcW w:w="2000" w:type="dxa"/>
          </w:tcPr>
          <w:p>
            <w:pPr>
              <w:jc w:val="center"/>
            </w:pPr>
            <w:r>
              <w:rPr/>
              <w:t xml:space="preserve">4</w:t>
            </w:r>
          </w:p>
        </w:tc>
      </w:tr>
      <w:tr>
        <w:trPr/>
        <w:tc>
          <w:tcPr>
            <w:tcW w:w="2000" w:type="dxa"/>
          </w:tcPr>
          <w:p>
            <w:pPr>
              <w:jc w:val="center"/>
            </w:pPr>
            <w:r>
              <w:rPr/>
              <w:t xml:space="preserve">1.2</w:t>
            </w:r>
          </w:p>
        </w:tc>
        <w:tc>
          <w:tcPr>
            <w:tcW w:w="5000" w:type="dxa"/>
          </w:tcPr>
          <w:p>
            <w:pPr/>
            <w:r>
              <w:rPr/>
              <w:t xml:space="preserve">Hodnocení dat, informací a digitálního obsahu  </w:t>
            </w:r>
          </w:p>
        </w:tc>
        <w:tc>
          <w:tcPr>
            <w:tcW w:w="2000" w:type="dxa"/>
          </w:tcPr>
          <w:p>
            <w:pPr>
              <w:jc w:val="center"/>
            </w:pPr>
            <w:r>
              <w:rPr/>
              <w:t xml:space="preserve">4</w:t>
            </w:r>
          </w:p>
        </w:tc>
      </w:tr>
      <w:tr>
        <w:trPr/>
        <w:tc>
          <w:tcPr>
            <w:tcW w:w="2000" w:type="dxa"/>
          </w:tcPr>
          <w:p>
            <w:pPr>
              <w:jc w:val="center"/>
            </w:pPr>
            <w:r>
              <w:rPr/>
              <w:t xml:space="preserve">5.4</w:t>
            </w:r>
          </w:p>
        </w:tc>
        <w:tc>
          <w:tcPr>
            <w:tcW w:w="5000" w:type="dxa"/>
          </w:tcPr>
          <w:p>
            <w:pPr/>
            <w:r>
              <w:rPr/>
              <w:t xml:space="preserve">Identifikace nedostatků v digitálních kompetencích  </w:t>
            </w:r>
          </w:p>
        </w:tc>
        <w:tc>
          <w:tcPr>
            <w:tcW w:w="2000" w:type="dxa"/>
          </w:tcPr>
          <w:p>
            <w:pPr>
              <w:jc w:val="center"/>
            </w:pPr>
            <w:r>
              <w:rPr/>
              <w:t xml:space="preserve">4</w:t>
            </w:r>
          </w:p>
        </w:tc>
      </w:tr>
    </w:tbl>
    <w:p>
      <w:pPr/>
      <w:r>
        <w:rPr>
          <w:sz w:val="16"/>
          <w:szCs w:val="16"/>
          <w:i w:val="1"/>
          <w:iCs w:val="1"/>
        </w:rPr>
        <w:t xml:space="preserve">Popisy úrovní naleznete zde: https://nsp.cz/downloads/Priloha_c15_manualu.pdf</w:t>
      </w:r>
    </w:p>
    <w:p/>
    <w:p>
      <w:pPr>
        <w:pStyle w:val="Heading3"/>
      </w:pPr>
      <w:bookmarkStart w:id="20" w:name="_Toc20"/>
      <w:r>
        <w:t>Měkké kompetence</w:t>
      </w:r>
      <w:bookmarkEnd w:id="20"/>
    </w:p>
    <w:tbl>
      <w:tblGrid>
        <w:gridCol w:w="2000" w:type="dxa"/>
        <w:gridCol w:w="5000" w:type="dxa"/>
        <w:gridCol w:w="2000" w:type="dxa"/>
      </w:tblGrid>
      <w:tblPr>
        <w:jc w:val="start"/>
        <w:tblW w:w="0" w:type="auto"/>
        <w:tblCellSpacing w:w="50" w:type="dxa"/>
        <w:tblLayout w:type="autofit"/>
        <w:bidiVisual w:val="0"/>
        <w:tblCellMar>
          <w:top w:w="80" w:type="dxa"/>
          <w:left w:w="80" w:type="dxa"/>
          <w:right w:w="80" w:type="dxa"/>
          <w:bottom w:w="80" w:type="dxa"/>
        </w:tblCellMar>
      </w:tblPr>
      <w:tr>
        <w:trPr/>
        <w:tc>
          <w:tcPr>
            <w:tcW w:w="2000" w:type="dxa"/>
          </w:tcPr>
          <w:p>
            <w:pPr>
              <w:jc w:val="center"/>
            </w:pPr>
            <w:r>
              <w:rPr>
                <w:b w:val="1"/>
                <w:bCs w:val="1"/>
              </w:rPr>
              <w:t xml:space="preserve">Kód</w:t>
            </w:r>
          </w:p>
        </w:tc>
        <w:tc>
          <w:tcPr>
            <w:tcW w:w="5000" w:type="dxa"/>
          </w:tcPr>
          <w:p>
            <w:pPr>
              <w:jc w:val="center"/>
            </w:pPr>
            <w:r>
              <w:rPr>
                <w:b w:val="1"/>
                <w:bCs w:val="1"/>
              </w:rPr>
              <w:t xml:space="preserve">Název</w:t>
            </w:r>
          </w:p>
        </w:tc>
        <w:tc>
          <w:tcPr>
            <w:tcW w:w="2000" w:type="dxa"/>
          </w:tcPr>
          <w:p>
            <w:pPr>
              <w:jc w:val="center"/>
            </w:pPr>
            <w:r>
              <w:rPr>
                <w:b w:val="1"/>
                <w:bCs w:val="1"/>
              </w:rPr>
              <w:t xml:space="preserve">Úroveň 0-5</w:t>
            </w:r>
          </w:p>
        </w:tc>
      </w:tr>
      <w:tr>
        <w:trPr/>
        <w:tc>
          <w:tcPr>
            <w:tcW w:w="2000" w:type="dxa"/>
          </w:tcPr>
          <w:p>
            <w:pPr>
              <w:jc w:val="center"/>
            </w:pPr>
            <w:r>
              <w:rPr/>
              <w:t xml:space="preserve">1.1</w:t>
            </w:r>
          </w:p>
        </w:tc>
        <w:tc>
          <w:tcPr>
            <w:tcW w:w="5000" w:type="dxa"/>
          </w:tcPr>
          <w:p>
            <w:pPr/>
            <w:r>
              <w:rPr/>
              <w:t xml:space="preserve">Kompetence k celoživotnímu vzdělávání</w:t>
            </w:r>
          </w:p>
        </w:tc>
        <w:tc>
          <w:tcPr>
            <w:tcW w:w="2000" w:type="dxa"/>
          </w:tcPr>
          <w:p>
            <w:pPr>
              <w:jc w:val="center"/>
            </w:pPr>
            <w:r>
              <w:rPr/>
              <w:t xml:space="preserve">3</w:t>
            </w:r>
          </w:p>
        </w:tc>
      </w:tr>
      <w:tr>
        <w:trPr/>
        <w:tc>
          <w:tcPr>
            <w:tcW w:w="2000" w:type="dxa"/>
          </w:tcPr>
          <w:p>
            <w:pPr>
              <w:jc w:val="center"/>
            </w:pPr>
            <w:r>
              <w:rPr/>
              <w:t xml:space="preserve">4.5</w:t>
            </w:r>
          </w:p>
        </w:tc>
        <w:tc>
          <w:tcPr>
            <w:tcW w:w="5000" w:type="dxa"/>
          </w:tcPr>
          <w:p>
            <w:pPr/>
            <w:r>
              <w:rPr/>
              <w:t xml:space="preserve">Kompetence k samostatnosti</w:t>
            </w:r>
          </w:p>
        </w:tc>
        <w:tc>
          <w:tcPr>
            <w:tcW w:w="2000" w:type="dxa"/>
          </w:tcPr>
          <w:p>
            <w:pPr>
              <w:jc w:val="center"/>
            </w:pPr>
            <w:r>
              <w:rPr/>
              <w:t xml:space="preserve">4</w:t>
            </w:r>
          </w:p>
        </w:tc>
      </w:tr>
      <w:tr>
        <w:trPr/>
        <w:tc>
          <w:tcPr>
            <w:tcW w:w="2000" w:type="dxa"/>
          </w:tcPr>
          <w:p>
            <w:pPr>
              <w:jc w:val="center"/>
            </w:pPr>
            <w:r>
              <w:rPr/>
              <w:t xml:space="preserve">4.4</w:t>
            </w:r>
          </w:p>
        </w:tc>
        <w:tc>
          <w:tcPr>
            <w:tcW w:w="5000" w:type="dxa"/>
          </w:tcPr>
          <w:p>
            <w:pPr/>
            <w:r>
              <w:rPr/>
              <w:t xml:space="preserve">Kompetence k řešení problémů</w:t>
            </w:r>
          </w:p>
        </w:tc>
        <w:tc>
          <w:tcPr>
            <w:tcW w:w="2000" w:type="dxa"/>
          </w:tcPr>
          <w:p>
            <w:pPr>
              <w:jc w:val="center"/>
            </w:pPr>
            <w:r>
              <w:rPr/>
              <w:t xml:space="preserve">3</w:t>
            </w:r>
          </w:p>
        </w:tc>
      </w:tr>
      <w:tr>
        <w:trPr/>
        <w:tc>
          <w:tcPr>
            <w:tcW w:w="2000" w:type="dxa"/>
          </w:tcPr>
          <w:p>
            <w:pPr>
              <w:jc w:val="center"/>
            </w:pPr>
            <w:r>
              <w:rPr/>
              <w:t xml:space="preserve">4.2</w:t>
            </w:r>
          </w:p>
        </w:tc>
        <w:tc>
          <w:tcPr>
            <w:tcW w:w="5000" w:type="dxa"/>
          </w:tcPr>
          <w:p>
            <w:pPr/>
            <w:r>
              <w:rPr/>
              <w:t xml:space="preserve">Kompetence k plánování a organizování práce</w:t>
            </w:r>
          </w:p>
        </w:tc>
        <w:tc>
          <w:tcPr>
            <w:tcW w:w="2000" w:type="dxa"/>
          </w:tcPr>
          <w:p>
            <w:pPr>
              <w:jc w:val="center"/>
            </w:pPr>
            <w:r>
              <w:rPr/>
              <w:t xml:space="preserve">3</w:t>
            </w:r>
          </w:p>
        </w:tc>
      </w:tr>
      <w:tr>
        <w:trPr/>
        <w:tc>
          <w:tcPr>
            <w:tcW w:w="2000" w:type="dxa"/>
          </w:tcPr>
          <w:p>
            <w:pPr>
              <w:jc w:val="center"/>
            </w:pPr>
            <w:r>
              <w:rPr/>
              <w:t xml:space="preserve">4.1</w:t>
            </w:r>
          </w:p>
        </w:tc>
        <w:tc>
          <w:tcPr>
            <w:tcW w:w="5000" w:type="dxa"/>
          </w:tcPr>
          <w:p>
            <w:pPr/>
            <w:r>
              <w:rPr/>
              <w:t xml:space="preserve">Kompetence k aktivnímu přístupu</w:t>
            </w:r>
          </w:p>
        </w:tc>
        <w:tc>
          <w:tcPr>
            <w:tcW w:w="2000" w:type="dxa"/>
          </w:tcPr>
          <w:p>
            <w:pPr>
              <w:jc w:val="center"/>
            </w:pPr>
            <w:r>
              <w:rPr/>
              <w:t xml:space="preserve">2</w:t>
            </w:r>
          </w:p>
        </w:tc>
      </w:tr>
      <w:tr>
        <w:trPr/>
        <w:tc>
          <w:tcPr>
            <w:tcW w:w="2000" w:type="dxa"/>
          </w:tcPr>
          <w:p>
            <w:pPr>
              <w:jc w:val="center"/>
            </w:pPr>
            <w:r>
              <w:rPr/>
              <w:t xml:space="preserve">3.3</w:t>
            </w:r>
          </w:p>
        </w:tc>
        <w:tc>
          <w:tcPr>
            <w:tcW w:w="5000" w:type="dxa"/>
          </w:tcPr>
          <w:p>
            <w:pPr/>
            <w:r>
              <w:rPr/>
              <w:t xml:space="preserve">Kompetence k objevování a orientaci v informacích</w:t>
            </w:r>
          </w:p>
        </w:tc>
        <w:tc>
          <w:tcPr>
            <w:tcW w:w="2000" w:type="dxa"/>
          </w:tcPr>
          <w:p>
            <w:pPr>
              <w:jc w:val="center"/>
            </w:pPr>
            <w:r>
              <w:rPr/>
              <w:t xml:space="preserve">4</w:t>
            </w:r>
          </w:p>
        </w:tc>
      </w:tr>
      <w:tr>
        <w:trPr/>
        <w:tc>
          <w:tcPr>
            <w:tcW w:w="2000" w:type="dxa"/>
          </w:tcPr>
          <w:p>
            <w:pPr>
              <w:jc w:val="center"/>
            </w:pPr>
            <w:r>
              <w:rPr/>
              <w:t xml:space="preserve">3.2</w:t>
            </w:r>
          </w:p>
        </w:tc>
        <w:tc>
          <w:tcPr>
            <w:tcW w:w="5000" w:type="dxa"/>
          </w:tcPr>
          <w:p>
            <w:pPr/>
            <w:r>
              <w:rPr/>
              <w:t xml:space="preserve">Kompetence ke koncepčnímu myšlení</w:t>
            </w:r>
          </w:p>
        </w:tc>
        <w:tc>
          <w:tcPr>
            <w:tcW w:w="2000" w:type="dxa"/>
          </w:tcPr>
          <w:p>
            <w:pPr>
              <w:jc w:val="center"/>
            </w:pPr>
            <w:r>
              <w:rPr/>
              <w:t xml:space="preserve">3</w:t>
            </w:r>
          </w:p>
        </w:tc>
      </w:tr>
      <w:tr>
        <w:trPr/>
        <w:tc>
          <w:tcPr>
            <w:tcW w:w="2000" w:type="dxa"/>
          </w:tcPr>
          <w:p>
            <w:pPr>
              <w:jc w:val="center"/>
            </w:pPr>
            <w:r>
              <w:rPr/>
              <w:t xml:space="preserve">3.1</w:t>
            </w:r>
          </w:p>
        </w:tc>
        <w:tc>
          <w:tcPr>
            <w:tcW w:w="5000" w:type="dxa"/>
          </w:tcPr>
          <w:p>
            <w:pPr/>
            <w:r>
              <w:rPr/>
              <w:t xml:space="preserve">Kompetence k analytickému myšlení</w:t>
            </w:r>
          </w:p>
        </w:tc>
        <w:tc>
          <w:tcPr>
            <w:tcW w:w="2000" w:type="dxa"/>
          </w:tcPr>
          <w:p>
            <w:pPr>
              <w:jc w:val="center"/>
            </w:pPr>
            <w:r>
              <w:rPr/>
              <w:t xml:space="preserve">4</w:t>
            </w:r>
          </w:p>
        </w:tc>
      </w:tr>
      <w:tr>
        <w:trPr/>
        <w:tc>
          <w:tcPr>
            <w:tcW w:w="2000" w:type="dxa"/>
          </w:tcPr>
          <w:p>
            <w:pPr>
              <w:jc w:val="center"/>
            </w:pPr>
            <w:r>
              <w:rPr/>
              <w:t xml:space="preserve">2.5</w:t>
            </w:r>
          </w:p>
        </w:tc>
        <w:tc>
          <w:tcPr>
            <w:tcW w:w="5000" w:type="dxa"/>
          </w:tcPr>
          <w:p>
            <w:pPr/>
            <w:r>
              <w:rPr/>
              <w:t xml:space="preserve">Kompetence k sebepoznání a porozumění druhým</w:t>
            </w:r>
          </w:p>
        </w:tc>
        <w:tc>
          <w:tcPr>
            <w:tcW w:w="2000" w:type="dxa"/>
          </w:tcPr>
          <w:p>
            <w:pPr>
              <w:jc w:val="center"/>
            </w:pPr>
            <w:r>
              <w:rPr/>
              <w:t xml:space="preserve">3</w:t>
            </w:r>
          </w:p>
        </w:tc>
      </w:tr>
      <w:tr>
        <w:trPr/>
        <w:tc>
          <w:tcPr>
            <w:tcW w:w="2000" w:type="dxa"/>
          </w:tcPr>
          <w:p>
            <w:pPr>
              <w:jc w:val="center"/>
            </w:pPr>
            <w:r>
              <w:rPr/>
              <w:t xml:space="preserve">2.4</w:t>
            </w:r>
          </w:p>
        </w:tc>
        <w:tc>
          <w:tcPr>
            <w:tcW w:w="5000" w:type="dxa"/>
          </w:tcPr>
          <w:p>
            <w:pPr/>
            <w:r>
              <w:rPr/>
              <w:t xml:space="preserve">Kompetence k ovlivňování a rozvíjení ostatních</w:t>
            </w:r>
          </w:p>
        </w:tc>
        <w:tc>
          <w:tcPr>
            <w:tcW w:w="2000" w:type="dxa"/>
          </w:tcPr>
          <w:p>
            <w:pPr>
              <w:jc w:val="center"/>
            </w:pPr>
            <w:r>
              <w:rPr/>
              <w:t xml:space="preserve">3</w:t>
            </w:r>
          </w:p>
        </w:tc>
      </w:tr>
      <w:tr>
        <w:trPr/>
        <w:tc>
          <w:tcPr>
            <w:tcW w:w="2000" w:type="dxa"/>
          </w:tcPr>
          <w:p>
            <w:pPr>
              <w:jc w:val="center"/>
            </w:pPr>
            <w:r>
              <w:rPr/>
              <w:t xml:space="preserve">2.3</w:t>
            </w:r>
          </w:p>
        </w:tc>
        <w:tc>
          <w:tcPr>
            <w:tcW w:w="5000" w:type="dxa"/>
          </w:tcPr>
          <w:p>
            <w:pPr/>
            <w:r>
              <w:rPr/>
              <w:t xml:space="preserve">Kompetence k orientaci na zákazníka a uspokojování zákaznických potřeb</w:t>
            </w:r>
          </w:p>
        </w:tc>
        <w:tc>
          <w:tcPr>
            <w:tcW w:w="2000" w:type="dxa"/>
          </w:tcPr>
          <w:p>
            <w:pPr>
              <w:jc w:val="center"/>
            </w:pPr>
            <w:r>
              <w:rPr/>
              <w:t xml:space="preserve">2</w:t>
            </w:r>
          </w:p>
        </w:tc>
      </w:tr>
      <w:tr>
        <w:trPr/>
        <w:tc>
          <w:tcPr>
            <w:tcW w:w="2000" w:type="dxa"/>
          </w:tcPr>
          <w:p>
            <w:pPr>
              <w:jc w:val="center"/>
            </w:pPr>
            <w:r>
              <w:rPr/>
              <w:t xml:space="preserve">2.2</w:t>
            </w:r>
          </w:p>
        </w:tc>
        <w:tc>
          <w:tcPr>
            <w:tcW w:w="5000" w:type="dxa"/>
          </w:tcPr>
          <w:p>
            <w:pPr/>
            <w:r>
              <w:rPr/>
              <w:t xml:space="preserve">Kompetence ke kooperaci</w:t>
            </w:r>
          </w:p>
        </w:tc>
        <w:tc>
          <w:tcPr>
            <w:tcW w:w="2000" w:type="dxa"/>
          </w:tcPr>
          <w:p>
            <w:pPr>
              <w:jc w:val="center"/>
            </w:pPr>
            <w:r>
              <w:rPr/>
              <w:t xml:space="preserve">4</w:t>
            </w:r>
          </w:p>
        </w:tc>
      </w:tr>
      <w:tr>
        <w:trPr/>
        <w:tc>
          <w:tcPr>
            <w:tcW w:w="2000" w:type="dxa"/>
          </w:tcPr>
          <w:p>
            <w:pPr>
              <w:jc w:val="center"/>
            </w:pPr>
            <w:r>
              <w:rPr/>
              <w:t xml:space="preserve">2.1</w:t>
            </w:r>
          </w:p>
        </w:tc>
        <w:tc>
          <w:tcPr>
            <w:tcW w:w="5000" w:type="dxa"/>
          </w:tcPr>
          <w:p>
            <w:pPr/>
            <w:r>
              <w:rPr/>
              <w:t xml:space="preserve">Kompetence k efektivní komunikaci</w:t>
            </w:r>
          </w:p>
        </w:tc>
        <w:tc>
          <w:tcPr>
            <w:tcW w:w="2000" w:type="dxa"/>
          </w:tcPr>
          <w:p>
            <w:pPr>
              <w:jc w:val="center"/>
            </w:pPr>
            <w:r>
              <w:rPr/>
              <w:t xml:space="preserve">4</w:t>
            </w:r>
          </w:p>
        </w:tc>
      </w:tr>
      <w:tr>
        <w:trPr/>
        <w:tc>
          <w:tcPr>
            <w:tcW w:w="2000" w:type="dxa"/>
          </w:tcPr>
          <w:p>
            <w:pPr>
              <w:jc w:val="center"/>
            </w:pPr>
            <w:r>
              <w:rPr/>
              <w:t xml:space="preserve">1.4</w:t>
            </w:r>
          </w:p>
        </w:tc>
        <w:tc>
          <w:tcPr>
            <w:tcW w:w="5000" w:type="dxa"/>
          </w:tcPr>
          <w:p>
            <w:pPr/>
            <w:r>
              <w:rPr/>
              <w:t xml:space="preserve">Kompetence ke zvládání stresu a zátěže</w:t>
            </w:r>
          </w:p>
        </w:tc>
        <w:tc>
          <w:tcPr>
            <w:tcW w:w="2000" w:type="dxa"/>
          </w:tcPr>
          <w:p>
            <w:pPr>
              <w:jc w:val="center"/>
            </w:pPr>
            <w:r>
              <w:rPr/>
              <w:t xml:space="preserve">2</w:t>
            </w:r>
          </w:p>
        </w:tc>
      </w:tr>
      <w:tr>
        <w:trPr/>
        <w:tc>
          <w:tcPr>
            <w:tcW w:w="2000" w:type="dxa"/>
          </w:tcPr>
          <w:p>
            <w:pPr>
              <w:jc w:val="center"/>
            </w:pPr>
            <w:r>
              <w:rPr/>
              <w:t xml:space="preserve">1.2</w:t>
            </w:r>
          </w:p>
        </w:tc>
        <w:tc>
          <w:tcPr>
            <w:tcW w:w="5000" w:type="dxa"/>
          </w:tcPr>
          <w:p>
            <w:pPr/>
            <w:r>
              <w:rPr/>
              <w:t xml:space="preserve">Kompetence k flexibilitě</w:t>
            </w:r>
          </w:p>
        </w:tc>
        <w:tc>
          <w:tcPr>
            <w:tcW w:w="2000" w:type="dxa"/>
          </w:tcPr>
          <w:p>
            <w:pPr>
              <w:jc w:val="center"/>
            </w:pPr>
            <w:r>
              <w:rPr/>
              <w:t xml:space="preserve">3</w:t>
            </w:r>
          </w:p>
        </w:tc>
      </w:tr>
      <w:tr>
        <w:trPr/>
        <w:tc>
          <w:tcPr>
            <w:tcW w:w="2000" w:type="dxa"/>
          </w:tcPr>
          <w:p>
            <w:pPr>
              <w:jc w:val="center"/>
            </w:pPr>
            <w:r>
              <w:rPr/>
              <w:t xml:space="preserve">4.6</w:t>
            </w:r>
          </w:p>
        </w:tc>
        <w:tc>
          <w:tcPr>
            <w:tcW w:w="5000" w:type="dxa"/>
          </w:tcPr>
          <w:p>
            <w:pPr/>
            <w:r>
              <w:rPr/>
              <w:t xml:space="preserve">Kompetence k výkonnosti</w:t>
            </w:r>
          </w:p>
        </w:tc>
        <w:tc>
          <w:tcPr>
            <w:tcW w:w="2000" w:type="dxa"/>
          </w:tcPr>
          <w:p>
            <w:pPr>
              <w:jc w:val="center"/>
            </w:pPr>
            <w:r>
              <w:rPr/>
              <w:t xml:space="preserve">2</w:t>
            </w:r>
          </w:p>
        </w:tc>
      </w:tr>
    </w:tbl>
    <w:p>
      <w:pPr/>
      <w:r>
        <w:rPr>
          <w:sz w:val="16"/>
          <w:szCs w:val="16"/>
          <w:i w:val="1"/>
          <w:iCs w:val="1"/>
        </w:rPr>
        <w:t xml:space="preserve">Popisy úrovní naleznete zde: https://nsp.cz/downloads/Priloha_c9_manualu.pdf</w:t>
      </w:r>
    </w:p>
    <w:p/>
    <w:p>
      <w:pPr>
        <w:pStyle w:val="Heading2"/>
      </w:pPr>
      <w:bookmarkStart w:id="21" w:name="_Toc21"/>
      <w:r>
        <w:t>Zdravotní podmínky</w:t>
      </w:r>
      <w:bookmarkEnd w:id="21"/>
    </w:p>
    <w:p>
      <w:pPr>
        <w:pStyle w:val="Heading3"/>
      </w:pPr>
      <w:bookmarkStart w:id="22" w:name="_Toc22"/>
      <w:r>
        <w:t>Onemocnění omezující výkon povolání / specializace povolání.</w:t>
      </w:r>
      <w:bookmarkEnd w:id="22"/>
    </w:p>
    <w:p>
      <w:pPr>
        <w:numPr>
          <w:ilvl w:val="0"/>
          <w:numId w:val="5"/>
        </w:numPr>
      </w:pPr>
      <w:r>
        <w:rPr/>
        <w:t xml:space="preserve">Onemocnění pohybového a nervového systému, omezující jemnou motoriku, koordinaci pohybů a svalovou sílu</w:t>
      </w:r>
    </w:p>
    <w:p>
      <w:pPr>
        <w:numPr>
          <w:ilvl w:val="0"/>
          <w:numId w:val="5"/>
        </w:numPr>
      </w:pPr>
      <w:r>
        <w:rPr/>
        <w:t xml:space="preserve">Duševní poruchy a poruchy chování</w:t>
      </w:r>
    </w:p>
    <w:p>
      <w:pPr>
        <w:numPr>
          <w:ilvl w:val="0"/>
          <w:numId w:val="5"/>
        </w:numPr>
      </w:pPr>
      <w:r>
        <w:rPr/>
        <w:t xml:space="preserve">Závažné stavy po úrazech či operacích pohybového systému</w:t>
      </w:r>
    </w:p>
    <w:p>
      <w:pPr/>
      <w:r>
        <w:rPr>
          <w:sz w:val="16"/>
          <w:szCs w:val="16"/>
          <w:i w:val="1"/>
          <w:iCs w:val="1"/>
        </w:rPr>
        <w:t xml:space="preserve">Přesné posouzení zdravotního stavu s následným doporučením nebo nedoporučením výkonu této pozice je možné pouze po konzultaci s lékařem.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nsid w:val="519EA5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spacing w:after="120"/>
    </w:pPr>
    <w:rPr>
      <w:sz w:val="40"/>
      <w:szCs w:val="40"/>
      <w:b w:val="1"/>
      <w:bCs w:val="1"/>
    </w:rPr>
  </w:style>
  <w:style w:type="paragraph" w:styleId="Heading2">
    <w:link w:val="Heading2Char"/>
    <w:name w:val="heading 2"/>
    <w:basedOn w:val="Normal"/>
    <w:pPr>
      <w:spacing w:after="80"/>
    </w:pPr>
    <w:rPr>
      <w:sz w:val="28"/>
      <w:szCs w:val="28"/>
      <w:b w:val="1"/>
      <w:bCs w:val="1"/>
    </w:rPr>
  </w:style>
  <w:style w:type="paragraph" w:styleId="Heading3">
    <w:link w:val="Heading3Char"/>
    <w:name w:val="heading 3"/>
    <w:basedOn w:val="Normal"/>
    <w:pPr>
      <w:spacing w:after="60"/>
    </w:pPr>
    <w:rPr>
      <w:sz w:val="24"/>
      <w:szCs w:val="24"/>
      <w:b w:val="1"/>
      <w:bCs w:val="1"/>
    </w:rPr>
  </w:style>
  <w:style w:type="paragraph" w:styleId="Heading4">
    <w:link w:val="Heading4Char"/>
    <w:name w:val="heading 4"/>
    <w:basedOn w:val="Normal"/>
    <w:pPr>
      <w:spacing w:after="60"/>
    </w:pPr>
    <w:rPr>
      <w:sz w:val="24"/>
      <w:szCs w:val="24"/>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FDV</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NSP.CZ</dc:creator>
  <dc:title>Správce databází</dc:title>
  <dc:description>Správce databází udržuje databáze dat, zálohuje a optimalizuje chod databází, identifikuje problémové oblasti a navrhuje řešení společně s programátory a návrháři databází.</dc:description>
  <dc:subject/>
  <cp:keywords/>
  <cp:category>Povolání</cp:category>
  <cp:lastModifiedBy/>
  <dcterms:created xsi:type="dcterms:W3CDTF">2017-11-22T09:14:01+01:00</dcterms:created>
  <dcterms:modified xsi:type="dcterms:W3CDTF">2022-07-15T16:06:49+02:00</dcterms:modified>
</cp:coreProperties>
</file>

<file path=docProps/custom.xml><?xml version="1.0" encoding="utf-8"?>
<Properties xmlns="http://schemas.openxmlformats.org/officeDocument/2006/custom-properties" xmlns:vt="http://schemas.openxmlformats.org/officeDocument/2006/docPropsVTypes"/>
</file>