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Vazač břemen</w:t>
      </w:r>
      <w:bookmarkEnd w:id="1"/>
    </w:p>
    <w:p>
      <w:pPr/>
      <w:r>
        <w:rPr/>
        <w:t xml:space="preserve">Vazač břemen váže břemena na jeřáb k provedení jejich přepravy.</w:t>
      </w:r>
    </w:p>
    <w:p/>
    <w:tbl>
      <w:tblGrid>
        <w:gridCol w:w="3000" w:type="dxa"/>
        <w:gridCol w:w="6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/>
            <w:r>
              <w:rPr>
                <w:b w:val="1"/>
                <w:bCs w:val="1"/>
              </w:rPr>
              <w:t xml:space="preserve">Odborný směr:</w:t>
            </w:r>
          </w:p>
        </w:tc>
        <w:tc>
          <w:tcPr>
            <w:tcW w:w="6000" w:type="dxa"/>
          </w:tcPr>
          <w:p>
            <w:pPr/>
            <w:r>
              <w:rPr/>
              <w:t xml:space="preserve">Stavebnictví a zeměměřictví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Odborný podsměr:</w:t>
            </w:r>
          </w:p>
        </w:tc>
        <w:tc>
          <w:tcPr/>
          <w:p>
            <w:pPr/>
            <w:r>
              <w:rPr/>
              <w:t xml:space="preserve">nezařazeno do odborného podsměru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Kvalifikační úroveň:</w:t>
            </w:r>
          </w:p>
        </w:tc>
        <w:tc>
          <w:tcPr/>
          <w:p>
            <w:pPr/>
            <w:r>
              <w:rPr/>
              <w:t xml:space="preserve">Střední vzdělání s výučním listem tříleté</w:t>
            </w:r>
          </w:p>
        </w:tc>
      </w:tr>
      <w:tr>
        <w:trPr/>
        <w:tc>
          <w:tcPr/>
          <w:p>
            <w:pPr/>
            <w:r>
              <w:rPr>
                <w:b w:val="1"/>
                <w:bCs w:val="1"/>
              </w:rPr>
              <w:t xml:space="preserve">Regulovaná jednotka práce:</w:t>
            </w:r>
          </w:p>
        </w:tc>
        <w:tc>
          <w:tcPr/>
          <w:p>
            <w:pPr/>
            <w:r>
              <w:rPr/>
              <w:t xml:space="preserve">ne</w:t>
            </w:r>
          </w:p>
        </w:tc>
      </w:tr>
    </w:tbl>
    <w:p/>
    <w:p>
      <w:pPr>
        <w:pStyle w:val="Heading2"/>
      </w:pPr>
      <w:bookmarkStart w:id="2" w:name="_Toc2"/>
      <w:r>
        <w:t>Pracovní činnosti</w:t>
      </w:r>
      <w:bookmarkEnd w:id="2"/>
    </w:p>
    <w:p>
      <w:pPr>
        <w:numPr>
          <w:ilvl w:val="0"/>
          <w:numId w:val="5"/>
        </w:numPr>
      </w:pPr>
      <w:r>
        <w:rPr/>
        <w:t xml:space="preserve">Výběr vhodných druhů vázacích prostředků.</w:t>
      </w:r>
    </w:p>
    <w:p>
      <w:pPr>
        <w:numPr>
          <w:ilvl w:val="0"/>
          <w:numId w:val="5"/>
        </w:numPr>
      </w:pPr>
      <w:r>
        <w:rPr/>
        <w:t xml:space="preserve">Kontrola používaných vázacích prostředků.</w:t>
      </w:r>
    </w:p>
    <w:p>
      <w:pPr>
        <w:numPr>
          <w:ilvl w:val="0"/>
          <w:numId w:val="5"/>
        </w:numPr>
      </w:pPr>
      <w:r>
        <w:rPr/>
        <w:t xml:space="preserve">Vázání břemen.</w:t>
      </w:r>
    </w:p>
    <w:p>
      <w:pPr>
        <w:numPr>
          <w:ilvl w:val="0"/>
          <w:numId w:val="5"/>
        </w:numPr>
      </w:pPr>
      <w:r>
        <w:rPr/>
        <w:t xml:space="preserve">Přeprava a ukládání břemen.</w:t>
      </w:r>
    </w:p>
    <w:p>
      <w:pPr>
        <w:numPr>
          <w:ilvl w:val="0"/>
          <w:numId w:val="5"/>
        </w:numPr>
      </w:pPr>
      <w:r>
        <w:rPr/>
        <w:t xml:space="preserve">Spolupráce s jeřábníkem.</w:t>
      </w:r>
    </w:p>
    <w:p/>
    <w:p>
      <w:pPr>
        <w:pStyle w:val="Heading2"/>
      </w:pPr>
      <w:bookmarkStart w:id="3" w:name="_Toc3"/>
      <w:r>
        <w:t>CZ-ISCO</w:t>
      </w:r>
      <w:bookmarkEnd w:id="3"/>
    </w:p>
    <w:p>
      <w:pPr>
        <w:numPr>
          <w:ilvl w:val="0"/>
          <w:numId w:val="5"/>
        </w:numPr>
      </w:pPr>
      <w:r>
        <w:rPr/>
        <w:t xml:space="preserve">Ostatní pomocní manipulační pracovníci (kromě výroby)</w:t>
      </w:r>
    </w:p>
    <w:p>
      <w:pPr>
        <w:numPr>
          <w:ilvl w:val="0"/>
          <w:numId w:val="5"/>
        </w:numPr>
      </w:pPr>
      <w:r>
        <w:rPr/>
        <w:t xml:space="preserve">Pomocní manipulační pracovníci (kromě výroby)</w:t>
      </w:r>
    </w:p>
    <w:p/>
    <w:p>
      <w:pPr>
        <w:pStyle w:val="Heading3"/>
      </w:pPr>
      <w:bookmarkStart w:id="4" w:name="_Toc4"/>
      <w:r>
        <w:t>Hrubé měsíční mzdy podle krajů v roce 2025</w:t>
      </w:r>
      <w:bookmarkEnd w:id="4"/>
    </w:p>
    <w:p>
      <w:pPr>
        <w:pStyle w:val="Heading4"/>
      </w:pPr>
      <w:bookmarkStart w:id="5" w:name="_Toc5"/>
      <w:r>
        <w:t>Pomocní manipulační pracovníci (kromě výroby) (CZ-ISCO 9333)</w:t>
      </w:r>
      <w:bookmarkEnd w:id="5"/>
    </w:p>
    <w:tbl>
      <w:tblGrid>
        <w:gridCol w:w="2400" w:type="dxa"/>
        <w:gridCol w:w="1100" w:type="dxa"/>
        <w:gridCol w:w="1100" w:type="dxa"/>
        <w:gridCol w:w="1100" w:type="dxa"/>
        <w:gridCol w:w="1100" w:type="dxa"/>
        <w:gridCol w:w="1100" w:type="dxa"/>
        <w:gridCol w:w="11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400" w:type="dxa"/>
          </w:tcPr>
          <w:p/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300" w:type="dxa"/>
            <w:gridSpan w:val="3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2400" w:type="dxa"/>
          </w:tcPr>
          <w:p>
            <w:pPr/>
            <w:r>
              <w:rPr>
                <w:b w:val="1"/>
                <w:bCs w:val="1"/>
              </w:rPr>
              <w:t xml:space="preserve">Kraj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Od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</w:t>
            </w:r>
          </w:p>
        </w:tc>
        <w:tc>
          <w:tcPr>
            <w:tcW w:w="11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Hlavní město Praha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21 318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36 762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52 003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30 517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36 933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44 741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Středočeský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21 659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33 517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48 074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27 286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31 549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40 064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Jihočeský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24 793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33 961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46 357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25 937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32 507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41 626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Plzeňský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22 568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33 996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43 969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30 165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35 187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39 635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Karlovarský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24 285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31 437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43 207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Ústecký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23 700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33 830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46 061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25 279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29 413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42 043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Liberecký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21 706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33 574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47 734 Kč</w:t>
            </w:r>
          </w:p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  <w:tc>
          <w:tcPr>
            <w:tcW w:w="1000" w:type="dxa"/>
          </w:tcPr>
          <w:p/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Královéhradecký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22 650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34 327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46 284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26 719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31 684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35 607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Pardubický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23 579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36 248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50 163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27 021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31 132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37 566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Kraj Vysočina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22 933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35 354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50 400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30 795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34 799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39 137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Jihomoravský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22 616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34 728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43 589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26 964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32 879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39 509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Olomoucký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21 539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28 307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41 773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26 250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33 650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37 796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Zlínský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22 822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31 169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43 837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25 823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29 505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37 128 Kč</w:t>
            </w:r>
          </w:p>
        </w:tc>
      </w:tr>
      <w:tr>
        <w:trPr/>
        <w:tc>
          <w:tcPr>
            <w:tcW w:w="2000" w:type="dxa"/>
          </w:tcPr>
          <w:p>
            <w:pPr/>
            <w:r>
              <w:rPr/>
              <w:t xml:space="preserve">Moravskoslezský kraj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20 876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30 605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44 896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25 669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31 028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40 172 Kč</w:t>
            </w:r>
          </w:p>
        </w:tc>
      </w:tr>
    </w:tbl>
    <w:p/>
    <w:p>
      <w:pPr>
        <w:pStyle w:val="Heading3"/>
      </w:pPr>
      <w:bookmarkStart w:id="6" w:name="_Toc6"/>
      <w:r>
        <w:t>Hrubé měsíční mzdy v roce 2025 celkem</w:t>
      </w:r>
      <w:bookmarkEnd w:id="6"/>
    </w:p>
    <w:tbl>
      <w:tblGrid>
        <w:gridCol w:w="1000" w:type="dxa"/>
        <w:gridCol w:w="2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  <w:gridSpan w:val="2"/>
          </w:tcPr>
          <w:p/>
        </w:tc>
        <w:tc>
          <w:tcPr>
            <w:tcW w:w="6000" w:type="dxa"/>
            <w:gridSpan w:val="2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Medián za ČR celkem</w:t>
            </w:r>
          </w:p>
        </w:tc>
      </w:tr>
      <w:tr>
        <w:trPr/>
        <w:tc>
          <w:tcPr>
            <w:tcW w:w="1000" w:type="dxa"/>
          </w:tcPr>
          <w:p>
            <w:pPr/>
            <w:r>
              <w:rPr>
                <w:b w:val="1"/>
                <w:bCs w:val="1"/>
              </w:rPr>
              <w:t xml:space="preserve">CZ-ISCO</w:t>
            </w:r>
          </w:p>
        </w:tc>
        <w:tc>
          <w:tcPr>
            <w:tcW w:w="2000" w:type="dxa"/>
          </w:tcPr>
          <w:p/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Mzdová sféra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Platová sféra</w:t>
            </w:r>
          </w:p>
        </w:tc>
      </w:tr>
      <w:tr>
        <w:trPr/>
        <w:tc>
          <w:tcPr>
            <w:tcW w:w="1000" w:type="dxa"/>
          </w:tcPr>
          <w:p>
            <w:pPr>
              <w:jc w:val="center"/>
            </w:pPr>
            <w:r>
              <w:rPr/>
              <w:t xml:space="preserve">9333</w:t>
            </w:r>
          </w:p>
        </w:tc>
        <w:tc>
          <w:tcPr>
            <w:tcW w:w="2000" w:type="dxa"/>
          </w:tcPr>
          <w:p>
            <w:pPr/>
            <w:r>
              <w:rPr/>
              <w:t xml:space="preserve">Pomocní manipulační pracovníci (kromě výroby)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32 930 Kč</w:t>
            </w:r>
          </w:p>
        </w:tc>
        <w:tc>
          <w:tcPr>
            <w:tcW w:w="1000" w:type="dxa"/>
          </w:tcPr>
          <w:p>
            <w:pPr>
              <w:jc w:val="center"/>
            </w:pPr>
            <w:r>
              <w:rPr/>
              <w:t xml:space="preserve">33 070 Kč</w:t>
            </w:r>
          </w:p>
        </w:tc>
      </w:tr>
    </w:tbl>
    <w:p/>
    <w:p>
      <w:pPr>
        <w:pStyle w:val="Heading2"/>
      </w:pPr>
      <w:bookmarkStart w:id="7" w:name="_Toc7"/>
      <w:r>
        <w:t>ESCO</w:t>
      </w:r>
      <w:bookmarkEnd w:id="7"/>
    </w:p>
    <w:tbl>
      <w:tblGrid>
        <w:gridCol w:w="3000" w:type="dxa"/>
        <w:gridCol w:w="3000" w:type="dxa"/>
        <w:gridCol w:w="3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 podskupiny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 podskupiny v ESCO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URL - podskupiny v ESCO</w:t>
            </w:r>
          </w:p>
        </w:tc>
      </w:tr>
      <w:tr>
        <w:trPr/>
        <w:tc>
          <w:tcPr>
            <w:tcW w:w="3000" w:type="dxa"/>
          </w:tcPr>
          <w:p>
            <w:pPr/>
            <w:r>
              <w:rPr/>
              <w:t xml:space="preserve">9333</w:t>
            </w:r>
          </w:p>
        </w:tc>
        <w:tc>
          <w:tcPr>
            <w:tcW w:w="3000" w:type="dxa"/>
          </w:tcPr>
          <w:p>
            <w:pPr/>
            <w:r>
              <w:rPr/>
              <w:t xml:space="preserve">Pomocní manipulační pracovníci</w:t>
            </w:r>
          </w:p>
        </w:tc>
        <w:tc>
          <w:tcPr>
            <w:tcW w:w="3000" w:type="dxa"/>
          </w:tcPr>
          <w:p>
            <w:pPr/>
            <w:r>
              <w:rPr/>
              <w:t xml:space="preserve">http://data.europa.eu/esco/isco/C9333</w:t>
            </w:r>
          </w:p>
        </w:tc>
      </w:tr>
    </w:tbl>
    <w:p/>
    <w:p/>
    <w:p/>
    <w:p>
      <w:pPr>
        <w:pStyle w:val="Heading2"/>
      </w:pPr>
      <w:bookmarkStart w:id="8" w:name="_Toc8"/>
      <w:r>
        <w:t>Pracovní podmínky</w:t>
      </w:r>
      <w:bookmarkEnd w:id="8"/>
    </w:p>
    <w:p>
      <w:pPr/>
      <w:r>
        <w:rPr/>
        <w:t xml:space="preserve">Rizikové faktory pracovních podmínek a vyskytující se druhy zátěže upravuje nařízení vlády č. 361/2007 Sb., kterým se stanoví podmínky ochrany zdraví při práci, zákon č. 258/2000 Sb., o ochraně veřejného zdraví a zákon č. 262/2006 Sb., zákoník práce. Vždy vyplývají z pracovních podmínek, které se vztahují ke konkrétnímu zaměstnavateli, tudíž se mohou u různých zaměstnavatelů lišit.</w:t>
      </w:r>
    </w:p>
    <w:p/>
    <w:p>
      <w:pPr/>
      <w:r>
        <w:rPr/>
        <w:t xml:space="preserve">Určení míry výskytu faktorů, které mohou ovlivnit zdraví při práci vychází z druhu práce vykonávané na pracovišti. Faktory se zařazují do čtyř kategorií dle míry zdravotního rizika a jeho vlivu na zdraví. O zařazení prací do třetí nebo čtvrté kategorie rozhoduje příslušný orgán ochrany veřejného zdraví.</w:t>
      </w:r>
    </w:p>
    <w:p/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1. Stupeň zátěže (minimální zdravotní riziko) - Faktor se při výkonu práce nevyskytuje nebo je zátěž faktorem minimální, vliv faktoru je ze zdravotního hlediska nevýznamný.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2. Stupeň zátěže (únosná míra zdravotního rizika) - Ze zdravotního hlediska je míra zátěže faktorem únosná, nepřekračuje limity stanovené předpisy, vliv faktoru je akceptovatelný pro zdravého člověka.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3. Stupeň zátěže (významná míra zdravotního rizika) - Úroveň zátěže překračuje stanovené limitní hodnoty expozice (zátěže), na pracovištích je nutná realizace náhradních technických a organizačních opatření, nelze vyloučit negativní vliv na zdraví pracovníků.</w:t>
      </w:r>
    </w:p>
    <w:p>
      <w:pPr>
        <w:numPr>
          <w:ilvl w:val="0"/>
          <w:numId w:val="5"/>
        </w:numPr>
      </w:pPr>
      <w:r>
        <w:rPr>
          <w:sz w:val="16"/>
          <w:szCs w:val="16"/>
          <w:i w:val="1"/>
          <w:iCs w:val="1"/>
        </w:rPr>
        <w:t xml:space="preserve">4. Stupeň zátěže (vysoká míra zdravotního rizika) - Úroveň zátěže vysoce překračuje stanovené limitní hodnoty expozice, na pracovištích musí být dodržován soubor preventivních opatření, častěji dochází k poškození zdraví.</w:t>
      </w:r>
    </w:p>
    <w:p/>
    <w:p/>
    <w:p>
      <w:pPr>
        <w:pStyle w:val="Heading2"/>
      </w:pPr>
      <w:bookmarkStart w:id="9" w:name="_Toc9"/>
      <w:r>
        <w:t>Kvalifikace k výkonu povolání</w:t>
      </w:r>
      <w:bookmarkEnd w:id="9"/>
    </w:p>
    <w:p>
      <w:pPr>
        <w:pStyle w:val="Heading3"/>
      </w:pPr>
      <w:bookmarkStart w:id="10" w:name="_Toc10"/>
      <w:r>
        <w:t>Školní vzdělání</w:t>
      </w:r>
      <w:bookmarkEnd w:id="10"/>
    </w:p>
    <w:p/>
    <w:p>
      <w:pPr>
        <w:pStyle w:val="Heading4"/>
      </w:pPr>
      <w:bookmarkStart w:id="11" w:name="_Toc11"/>
      <w:r>
        <w:t>Nejvhodnější školní přípravu poskytují obory:</w:t>
      </w:r>
      <w:bookmarkEnd w:id="11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KKOV</w:t>
            </w:r>
          </w:p>
        </w:tc>
        <w:tc>
          <w:tcPr>
            <w:tcW w:w="5000" w:type="dxa"/>
          </w:tcPr>
          <w:p>
            <w:pPr/>
            <w:r>
              <w:rPr/>
              <w:t xml:space="preserve">Střední vzdělání s výučním listem ve skupině oborů 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23xxH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RVP</w:t>
            </w:r>
          </w:p>
        </w:tc>
        <w:tc>
          <w:tcPr>
            <w:tcW w:w="5000" w:type="dxa"/>
          </w:tcPr>
          <w:p>
            <w:pPr/>
            <w:r>
              <w:rPr/>
              <w:t xml:space="preserve">Strojírenství a strojírenská výroba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23-xx-H/xx</w:t>
            </w:r>
          </w:p>
        </w:tc>
      </w:tr>
    </w:tbl>
    <w:p/>
    <w:p>
      <w:pPr>
        <w:pStyle w:val="Heading4"/>
      </w:pPr>
      <w:bookmarkStart w:id="12" w:name="_Toc12"/>
      <w:r>
        <w:t>Vhodnou školní přípravu poskytují také obory:</w:t>
      </w:r>
      <w:bookmarkEnd w:id="12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Typ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</w:tr>
    </w:tbl>
    <w:p/>
    <w:p>
      <w:pPr>
        <w:pStyle w:val="Heading3"/>
      </w:pPr>
      <w:bookmarkStart w:id="13" w:name="_Toc13"/>
      <w:r>
        <w:t>Další vzdělání</w:t>
      </w:r>
      <w:bookmarkEnd w:id="13"/>
    </w:p>
    <w:p>
      <w:pPr>
        <w:pStyle w:val="Heading4"/>
      </w:pPr>
      <w:bookmarkStart w:id="14" w:name="_Toc14"/>
      <w:r>
        <w:t>Profesní kvalifikace</w:t>
      </w:r>
      <w:bookmarkEnd w:id="14"/>
    </w:p>
    <w:p>
      <w:pPr>
        <w:numPr>
          <w:ilvl w:val="0"/>
          <w:numId w:val="5"/>
        </w:numPr>
      </w:pPr>
      <w:r>
        <w:rPr/>
        <w:t xml:space="preserve">Vazač/vazačka břemen (37-043-H)</w:t>
      </w:r>
    </w:p>
    <w:p/>
    <w:p/>
    <w:p>
      <w:pPr>
        <w:pStyle w:val="Heading2"/>
      </w:pPr>
      <w:bookmarkStart w:id="15" w:name="_Toc15"/>
      <w:r>
        <w:t>Kompetenční požadavky</w:t>
      </w:r>
      <w:bookmarkEnd w:id="15"/>
    </w:p>
    <w:p>
      <w:pPr>
        <w:pStyle w:val="Heading3"/>
      </w:pPr>
      <w:bookmarkStart w:id="16" w:name="_Toc16"/>
      <w:r>
        <w:t>Odborné dovednosti</w:t>
      </w:r>
      <w:bookmarkEnd w:id="16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g12.B.5553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ve všeobecných pojmech v oblasti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g12.D.2563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požadavcích na osoby odpovědné za bezpečnost práce při vázání a přepravě břemen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g12.D.2561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požadavcích na vázací prostředky, jejich konstrukci, způsoby značení, vybavení vazače a zásadách pro použití vázacích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g12.D.2562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zásadách kontroly technického stavu vázacích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e81.D.2114</w:t>
            </w:r>
          </w:p>
        </w:tc>
        <w:tc>
          <w:tcPr>
            <w:tcW w:w="3000" w:type="dxa"/>
          </w:tcPr>
          <w:p>
            <w:pPr/>
            <w:r>
              <w:rPr/>
              <w:t xml:space="preserve">Orientace v zakázaných a rizikových manipulacích a postupech při úrazu elektrickým proudem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g12.A.3056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Aplikování požadavků na přípravu a vlastní vázání břemen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g12.A.3057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Aplikování požadavků na přepravu a ukládání břemen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g12.B.5554</w:t>
            </w:r>
          </w:p>
        </w:tc>
        <w:tc>
          <w:tcPr>
            <w:tcW w:w="3000" w:type="dxa"/>
          </w:tcPr>
          <w:p>
            <w:pPr/>
            <w:r>
              <w:rPr/>
              <w:t xml:space="preserve">Aplikování spolupráce jeřábníka a vazače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g12.D.2621</w:t>
            </w:r>
          </w:p>
        </w:tc>
        <w:tc>
          <w:tcPr>
            <w:tcW w:w="3000" w:type="dxa"/>
          </w:tcPr>
          <w:p>
            <w:pPr/>
            <w:r>
              <w:rPr/>
              <w:t xml:space="preserve">Dodržování zásad BOZP při provozu jeřábu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7" w:name="_Toc17"/>
      <w:r>
        <w:t>Odborné znalosti</w:t>
      </w:r>
      <w:bookmarkEnd w:id="17"/>
    </w:p>
    <w:tbl>
      <w:tblGrid>
        <w:gridCol w:w="2000" w:type="dxa"/>
        <w:gridCol w:w="3000" w:type="dxa"/>
        <w:gridCol w:w="2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3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1-8</w:t>
            </w:r>
          </w:p>
        </w:tc>
        <w:tc>
          <w:tcPr>
            <w:tcW w:w="2000" w:type="dxa"/>
          </w:tcPr>
          <w:p>
            <w:pPr/>
            <w:r>
              <w:rPr>
                <w:b w:val="1"/>
                <w:bCs w:val="1"/>
              </w:rPr>
              <w:t xml:space="preserve">Vhodnost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h27._.0002</w:t>
            </w:r>
          </w:p>
        </w:tc>
        <w:tc>
          <w:tcPr>
            <w:tcW w:w="3000" w:type="dxa"/>
          </w:tcPr>
          <w:p>
            <w:pPr/>
            <w:r>
              <w:rPr/>
              <w:t xml:space="preserve">požadavky na vázací prostředky jejich konstrukce a způsoby značení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h27._.0003</w:t>
            </w:r>
          </w:p>
        </w:tc>
        <w:tc>
          <w:tcPr>
            <w:tcW w:w="3000" w:type="dxa"/>
          </w:tcPr>
          <w:p>
            <w:pPr/>
            <w:r>
              <w:rPr/>
              <w:t xml:space="preserve">zásady použití vázacích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h27._.0004</w:t>
            </w:r>
          </w:p>
        </w:tc>
        <w:tc>
          <w:tcPr>
            <w:tcW w:w="3000" w:type="dxa"/>
          </w:tcPr>
          <w:p>
            <w:pPr/>
            <w:r>
              <w:rPr/>
              <w:t xml:space="preserve">všeobecné pojmy z oblasti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h27._.0005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 u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h27._.0008</w:t>
            </w:r>
          </w:p>
        </w:tc>
        <w:tc>
          <w:tcPr>
            <w:tcW w:w="3000" w:type="dxa"/>
          </w:tcPr>
          <w:p>
            <w:pPr/>
            <w:r>
              <w:rPr/>
              <w:t xml:space="preserve">zakázané a rizikové manipulace u zdvihacích zařízení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l24._.0009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bezpečnost práce, požární ochrana a první pomoc při úrazu elektrickým proudem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h27._.0009</w:t>
            </w:r>
          </w:p>
        </w:tc>
        <w:tc>
          <w:tcPr>
            <w:tcW w:w="3000" w:type="dxa"/>
          </w:tcPr>
          <w:p>
            <w:pPr/>
            <w:r>
              <w:rPr/>
              <w:t xml:space="preserve">ochranné prostředky a pomůcky vazače břemen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h27._.0010</w:t>
            </w:r>
          </w:p>
        </w:tc>
        <w:tc>
          <w:tcPr>
            <w:tcW w:w="3000" w:type="dxa"/>
          </w:tcPr>
          <w:p>
            <w:pPr/>
            <w:r>
              <w:rPr/>
              <w:t xml:space="preserve">kontrola vázacích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h27._.0011</w:t>
            </w:r>
          </w:p>
        </w:tc>
        <w:tc>
          <w:tcPr>
            <w:tcW w:w="3000" w:type="dxa"/>
          </w:tcPr>
          <w:p>
            <w:pPr/>
            <w:r>
              <w:rPr/>
              <w:t xml:space="preserve">vlivy úhlů sklonu pramenů vázacích prostředků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Nutné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https://nsp.cz/downloads/Priloha_c2_manualu.pdf</w:t>
      </w:r>
    </w:p>
    <w:p/>
    <w:p>
      <w:pPr>
        <w:pStyle w:val="Heading3"/>
      </w:pPr>
      <w:bookmarkStart w:id="18" w:name="_Toc18"/>
      <w:r>
        <w:t>Digitální kompetence</w:t>
      </w:r>
      <w:bookmarkEnd w:id="18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1-4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1.1</w:t>
            </w:r>
          </w:p>
        </w:tc>
        <w:tc>
          <w:tcPr>
            <w:tcW w:w="5000" w:type="dxa"/>
          </w:tcPr>
          <w:p>
            <w:pPr/>
            <w:r>
              <w:rPr/>
              <w:t xml:space="preserve">Prohlížení, vyhledávání a filtrování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Interakce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4.2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osobních dat a soukromí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4.1</w:t>
            </w:r>
          </w:p>
        </w:tc>
        <w:tc>
          <w:tcPr>
            <w:tcW w:w="5000" w:type="dxa"/>
          </w:tcPr>
          <w:p>
            <w:pPr/>
            <w:r>
              <w:rPr/>
              <w:t xml:space="preserve">Ochrana zařízení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1.2</w:t>
            </w:r>
          </w:p>
        </w:tc>
        <w:tc>
          <w:tcPr>
            <w:tcW w:w="5000" w:type="dxa"/>
          </w:tcPr>
          <w:p>
            <w:pPr/>
            <w:r>
              <w:rPr/>
              <w:t xml:space="preserve">Hodnocení dat, informací a digitálního obsahu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2.4</w:t>
            </w:r>
          </w:p>
        </w:tc>
        <w:tc>
          <w:tcPr>
            <w:tcW w:w="5000" w:type="dxa"/>
          </w:tcPr>
          <w:p>
            <w:pPr/>
            <w:r>
              <w:rPr/>
              <w:t xml:space="preserve">Spolupráce prostřednictvím digitálních technologií  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1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https://nsp.cz/downloads/Priloha_c15_manualu.pdf</w:t>
      </w:r>
    </w:p>
    <w:p/>
    <w:p>
      <w:pPr>
        <w:pStyle w:val="Heading3"/>
      </w:pPr>
      <w:bookmarkStart w:id="19" w:name="_Toc19"/>
      <w:r>
        <w:t>Měkké kompetence</w:t>
      </w:r>
      <w:bookmarkEnd w:id="19"/>
    </w:p>
    <w:tbl>
      <w:tblGrid>
        <w:gridCol w:w="2000" w:type="dxa"/>
        <w:gridCol w:w="5000" w:type="dxa"/>
        <w:gridCol w:w="2000" w:type="dxa"/>
      </w:tblGrid>
      <w:tblPr>
        <w:jc w:val="start"/>
        <w:tblW w:w="0" w:type="auto"/>
        <w:tblCellSpacing w:w="50" w:type="dxa"/>
        <w:tblLayout w:type="autofit"/>
        <w:bidiVisual w:val="0"/>
        <w:tblCellMar>
          <w:top w:w="80" w:type="dxa"/>
          <w:left w:w="80" w:type="dxa"/>
          <w:right w:w="80" w:type="dxa"/>
          <w:bottom w:w="80" w:type="dxa"/>
        </w:tblCellMar>
      </w:tblPr>
      <w:tr>
        <w:trPr/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Kód</w:t>
            </w:r>
          </w:p>
        </w:tc>
        <w:tc>
          <w:tcPr>
            <w:tcW w:w="5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Název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Úroveň 0-5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2.1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efektivní komunikaci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2.2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ke kooperaci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4.6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výkonnosti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3</w:t>
            </w:r>
          </w:p>
        </w:tc>
      </w:tr>
      <w:tr>
        <w:trPr/>
        <w:tc>
          <w:tcPr>
            <w:tcW w:w="2000" w:type="dxa"/>
          </w:tcPr>
          <w:p>
            <w:pPr>
              <w:jc w:val="center"/>
            </w:pPr>
            <w:r>
              <w:rPr/>
              <w:t xml:space="preserve">4.5</w:t>
            </w:r>
          </w:p>
        </w:tc>
        <w:tc>
          <w:tcPr>
            <w:tcW w:w="5000" w:type="dxa"/>
          </w:tcPr>
          <w:p>
            <w:pPr/>
            <w:r>
              <w:rPr/>
              <w:t xml:space="preserve">Kompetence k samostatnosti</w:t>
            </w:r>
          </w:p>
        </w:tc>
        <w:tc>
          <w:tcPr>
            <w:tcW w:w="2000" w:type="dxa"/>
          </w:tcPr>
          <w:p>
            <w:pPr>
              <w:jc w:val="center"/>
            </w:pPr>
            <w:r>
              <w:rPr/>
              <w:t xml:space="preserve">2</w:t>
            </w:r>
          </w:p>
        </w:tc>
      </w:tr>
    </w:tbl>
    <w:p>
      <w:pPr/>
      <w:r>
        <w:rPr>
          <w:sz w:val="16"/>
          <w:szCs w:val="16"/>
          <w:i w:val="1"/>
          <w:iCs w:val="1"/>
        </w:rPr>
        <w:t xml:space="preserve">Popisy úrovní naleznete zde: https://nsp.cz/downloads/Priloha_c9_manualu.pdf</w:t>
      </w:r>
    </w:p>
    <w:p/>
    <w:p>
      <w:pPr>
        <w:pStyle w:val="Heading2"/>
      </w:pPr>
      <w:bookmarkStart w:id="20" w:name="_Toc20"/>
      <w:r>
        <w:t>Zdravotní podmínky</w:t>
      </w:r>
      <w:bookmarkEnd w:id="20"/>
    </w:p>
    <w:p>
      <w:pPr>
        <w:pStyle w:val="Heading3"/>
      </w:pPr>
      <w:bookmarkStart w:id="21" w:name="_Toc21"/>
      <w:r>
        <w:t>Onemocnění omezující výkon povolání / specializace povolání.</w:t>
      </w:r>
      <w:bookmarkEnd w:id="21"/>
    </w:p>
    <w:p>
      <w:pPr>
        <w:numPr>
          <w:ilvl w:val="0"/>
          <w:numId w:val="5"/>
        </w:numPr>
      </w:pPr>
      <w:r>
        <w:rPr/>
        <w:t xml:space="preserve">Onemocnění oběhové soustavy</w:t>
      </w:r>
    </w:p>
    <w:p>
      <w:pPr>
        <w:numPr>
          <w:ilvl w:val="0"/>
          <w:numId w:val="5"/>
        </w:numPr>
      </w:pPr>
      <w:r>
        <w:rPr/>
        <w:t xml:space="preserve">Poruchy termoregulace</w:t>
      </w:r>
    </w:p>
    <w:p>
      <w:pPr>
        <w:numPr>
          <w:ilvl w:val="0"/>
          <w:numId w:val="5"/>
        </w:numPr>
      </w:pPr>
      <w:r>
        <w:rPr/>
        <w:t xml:space="preserve">Závažná onemocnění dýchacích cest a plic</w:t>
      </w:r>
    </w:p>
    <w:p>
      <w:pPr>
        <w:numPr>
          <w:ilvl w:val="0"/>
          <w:numId w:val="5"/>
        </w:numPr>
      </w:pPr>
      <w:r>
        <w:rPr/>
        <w:t xml:space="preserve">Závažná onemocnění ledvin, močových cest</w:t>
      </w:r>
    </w:p>
    <w:p>
      <w:pPr>
        <w:numPr>
          <w:ilvl w:val="0"/>
          <w:numId w:val="5"/>
        </w:numPr>
      </w:pPr>
      <w:r>
        <w:rPr/>
        <w:t xml:space="preserve">Závažná degenerativní a zánětlivá onemocnění pohybového systému</w:t>
      </w:r>
    </w:p>
    <w:p>
      <w:pPr>
        <w:pStyle w:val="Heading3"/>
      </w:pPr>
      <w:bookmarkStart w:id="22" w:name="_Toc22"/>
      <w:r>
        <w:t>Onemocnění vylučující výkon povolání / specializace povolání.e</w:t>
      </w:r>
      <w:bookmarkEnd w:id="22"/>
    </w:p>
    <w:p>
      <w:pPr>
        <w:numPr>
          <w:ilvl w:val="0"/>
          <w:numId w:val="5"/>
        </w:numPr>
      </w:pPr>
      <w:r>
        <w:rPr/>
        <w:t xml:space="preserve">Záchvatovité a kolapsové stavy</w:t>
      </w:r>
    </w:p>
    <w:p>
      <w:pPr/>
      <w:r>
        <w:rPr>
          <w:sz w:val="16"/>
          <w:szCs w:val="16"/>
          <w:i w:val="1"/>
          <w:iCs w:val="1"/>
        </w:rPr>
        <w:t xml:space="preserve">Přesné posouzení zdravotního stavu s následným doporučením nebo nedoporučením výkonu této pozice je možné pouze po konzultaci s lékařem.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5">
    <w:nsid w:val="8B46E4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5">
    <w:abstractNumId w:val="5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after="120"/>
    </w:pPr>
    <w:rPr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spacing w:after="80"/>
    </w:pPr>
    <w:rPr>
      <w:sz w:val="28"/>
      <w:szCs w:val="28"/>
      <w:b w:val="1"/>
      <w:bCs w:val="1"/>
    </w:rPr>
  </w:style>
  <w:style w:type="paragraph" w:styleId="Heading3">
    <w:link w:val="Heading3Char"/>
    <w:name w:val="heading 3"/>
    <w:basedOn w:val="Normal"/>
    <w:pPr>
      <w:spacing w:after="60"/>
    </w:pPr>
    <w:rPr>
      <w:sz w:val="24"/>
      <w:szCs w:val="24"/>
      <w:b w:val="1"/>
      <w:bCs w:val="1"/>
    </w:rPr>
  </w:style>
  <w:style w:type="paragraph" w:styleId="Heading4">
    <w:link w:val="Heading4Char"/>
    <w:name w:val="heading 4"/>
    <w:basedOn w:val="Normal"/>
    <w:pPr>
      <w:spacing w:after="6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FDV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NSP.CZ</dc:creator>
  <dc:title>Vazač břemen</dc:title>
  <dc:description>Vazač břemen váže břemena na jeřáb k provedení jejich přepravy.</dc:description>
  <dc:subject/>
  <cp:keywords/>
  <cp:category>Povolání</cp:category>
  <cp:lastModifiedBy/>
  <dcterms:created xsi:type="dcterms:W3CDTF">2017-11-22T09:21:04+01:00</dcterms:created>
  <dcterms:modified xsi:type="dcterms:W3CDTF">2022-04-07T18:08:33+02:00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