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Tiskař</w:t>
      </w:r>
      <w:bookmarkEnd w:id="0"/>
    </w:p>
    <w:p>
      <w:pPr/>
      <w:r>
        <w:rPr/>
        <w:t xml:space="preserve">Tiskař připravuje a kontroluje tiskovou formu a potiskované materiály, připravuje barvy pro výrobu různých druhů tiskovin a tiskne plakáty, knihy, časopisy, noviny, mapy, fotografie, plány, obaly, kartografická díla a potiskuje fólie, lepenky a další předměty.</w:t>
      </w:r>
    </w:p>
    <w:p/>
    <w:tbl>
      <w:tblGrid>
        <w:gridCol w:w="3000" w:type="dxa"/>
        <w:gridCol w:w="6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r>
              <w:rPr>
                <w:b w:val="1"/>
                <w:bCs w:val="1"/>
              </w:rPr>
              <w:t xml:space="preserve">Odborný směr:</w:t>
            </w:r>
          </w:p>
        </w:tc>
        <w:tc>
          <w:tcPr>
            <w:tcW w:w="6000" w:type="dxa"/>
            <w:noWrap/>
          </w:tcPr>
          <w:p>
            <w:pPr/>
            <w:r>
              <w:rPr/>
              <w:t xml:space="preserve">Polygrafie</w:t>
            </w:r>
          </w:p>
        </w:tc>
      </w:tr>
      <w:tr>
        <w:trPr/>
        <w:tc>
          <w:tcPr>
            <w:noWrap/>
          </w:tcPr>
          <w:p>
            <w:pPr/>
            <w:r>
              <w:rPr>
                <w:b w:val="1"/>
                <w:bCs w:val="1"/>
              </w:rPr>
              <w:t xml:space="preserve">Odborný podsměr:</w:t>
            </w:r>
          </w:p>
        </w:tc>
        <w:tc>
          <w:tcPr>
            <w:noWrap/>
          </w:tcPr>
          <w:p>
            <w:pPr/>
            <w:r>
              <w:rPr/>
              <w:t xml:space="preserve">nezařazeno do odborného podsměru</w:t>
            </w:r>
          </w:p>
        </w:tc>
      </w:tr>
      <w:tr>
        <w:trPr/>
        <w:tc>
          <w:tcPr>
            <w:noWrap/>
          </w:tcPr>
          <w:p>
            <w:pPr/>
            <w:r>
              <w:rPr>
                <w:b w:val="1"/>
                <w:bCs w:val="1"/>
              </w:rPr>
              <w:t xml:space="preserve">Kvalifikační úroveň:</w:t>
            </w:r>
          </w:p>
        </w:tc>
        <w:tc>
          <w:tcPr>
            <w:noWrap/>
          </w:tcPr>
          <w:p>
            <w:pPr/>
            <w:r>
              <w:rPr/>
              <w:t xml:space="preserve">Střední vzdělání s výučním listem tříleté</w:t>
            </w:r>
          </w:p>
        </w:tc>
      </w:tr>
      <w:tr>
        <w:trPr/>
        <w:tc>
          <w:tcPr>
            <w:noWrap/>
          </w:tcPr>
          <w:p>
            <w:pPr/>
            <w:r>
              <w:rPr>
                <w:b w:val="1"/>
                <w:bCs w:val="1"/>
              </w:rPr>
              <w:t xml:space="preserve">Alternativní názvy:</w:t>
            </w:r>
          </w:p>
        </w:tc>
        <w:tc>
          <w:tcPr>
            <w:noWrap/>
          </w:tcPr>
          <w:p>
            <w:pPr/>
            <w:r>
              <w:rPr/>
              <w:t xml:space="preserve">Tiskař na akcidenčních ofsetových kotoučových strojích, Tiskař na hlubotiskových kotoučových strojích, Tiskař na novinových ofsetových kotoučových strojích, Tiskař ofsetových archových strojích, Tiskař na širokoformátových flexotiskových kotoučových strojích, Tiskař na sítotiskových strojích, Tiskař na úzkoformátových flexotiskových kotoučových strojích, Drucker, Printer</w:t>
            </w:r>
          </w:p>
        </w:tc>
      </w:tr>
      <w:tr>
        <w:trPr/>
        <w:tc>
          <w:tcPr>
            <w:noWrap/>
          </w:tcPr>
          <w:p>
            <w:pPr/>
            <w:r>
              <w:rPr>
                <w:b w:val="1"/>
                <w:bCs w:val="1"/>
              </w:rPr>
              <w:t xml:space="preserve">Regulovaná jednotka práce:</w:t>
            </w:r>
          </w:p>
        </w:tc>
        <w:tc>
          <w:tcPr>
            <w:noWrap/>
          </w:tcPr>
          <w:p>
            <w:pPr/>
            <w:r>
              <w:rPr/>
              <w:t xml:space="preserve">ne</w:t>
            </w:r>
          </w:p>
        </w:tc>
      </w:tr>
    </w:tbl>
    <w:p/>
    <w:p>
      <w:pPr>
        <w:pStyle w:val="Heading2"/>
      </w:pPr>
      <w:bookmarkStart w:id="1" w:name="_Toc1"/>
      <w:r>
        <w:t>Pracovní činnosti</w:t>
      </w:r>
      <w:bookmarkEnd w:id="1"/>
    </w:p>
    <w:p>
      <w:pPr>
        <w:numPr>
          <w:ilvl w:val="0"/>
          <w:numId w:val="5"/>
        </w:numPr>
      </w:pPr>
      <w:r>
        <w:rPr/>
        <w:t xml:space="preserve">Volba vhodných pracovních postupů, prostředků a materiálů s ohledem na charakter vykonávaných činností.</w:t>
      </w:r>
    </w:p>
    <w:p>
      <w:pPr>
        <w:numPr>
          <w:ilvl w:val="0"/>
          <w:numId w:val="5"/>
        </w:numPr>
      </w:pPr>
      <w:r>
        <w:rPr/>
        <w:t xml:space="preserve">Převzetí a příprava řídicích materiálů k tisku a tiskových forem.</w:t>
      </w:r>
    </w:p>
    <w:p>
      <w:pPr>
        <w:numPr>
          <w:ilvl w:val="0"/>
          <w:numId w:val="5"/>
        </w:numPr>
      </w:pPr>
      <w:r>
        <w:rPr/>
        <w:t xml:space="preserve">Převzetí a aplikace řídicích datových souborů pro seřizování funkčních celků tiskového stroje.</w:t>
      </w:r>
    </w:p>
    <w:p>
      <w:pPr>
        <w:numPr>
          <w:ilvl w:val="0"/>
          <w:numId w:val="5"/>
        </w:numPr>
      </w:pPr>
      <w:r>
        <w:rPr/>
        <w:t xml:space="preserve">Nastavení soutisku tiskových barev při tisku.</w:t>
      </w:r>
    </w:p>
    <w:p>
      <w:pPr>
        <w:numPr>
          <w:ilvl w:val="0"/>
          <w:numId w:val="5"/>
        </w:numPr>
      </w:pPr>
      <w:r>
        <w:rPr/>
        <w:t xml:space="preserve">Příprava tiskové barvy pro výrobní proces.</w:t>
      </w:r>
    </w:p>
    <w:p>
      <w:pPr>
        <w:numPr>
          <w:ilvl w:val="0"/>
          <w:numId w:val="5"/>
        </w:numPr>
      </w:pPr>
      <w:r>
        <w:rPr/>
        <w:t xml:space="preserve">Obsluha, řízení a seřizování tiskových strojů a automatů.</w:t>
      </w:r>
    </w:p>
    <w:p>
      <w:pPr>
        <w:numPr>
          <w:ilvl w:val="0"/>
          <w:numId w:val="5"/>
        </w:numPr>
      </w:pPr>
      <w:r>
        <w:rPr/>
        <w:t xml:space="preserve">Čištění, ošetřování a údržba tiskových strojů a zařízení v rámci různých tiskařských technologií.</w:t>
      </w:r>
    </w:p>
    <w:p>
      <w:pPr>
        <w:numPr>
          <w:ilvl w:val="0"/>
          <w:numId w:val="5"/>
        </w:numPr>
      </w:pPr>
      <w:r>
        <w:rPr/>
        <w:t xml:space="preserve">Tisk a upravování zabarvení tisku.</w:t>
      </w:r>
    </w:p>
    <w:p>
      <w:pPr>
        <w:numPr>
          <w:ilvl w:val="0"/>
          <w:numId w:val="5"/>
        </w:numPr>
      </w:pPr>
      <w:r>
        <w:rPr/>
        <w:t xml:space="preserve">Odstraňování drobných závad při tisku.</w:t>
      </w:r>
    </w:p>
    <w:p>
      <w:pPr>
        <w:numPr>
          <w:ilvl w:val="0"/>
          <w:numId w:val="5"/>
        </w:numPr>
      </w:pPr>
      <w:r>
        <w:rPr/>
        <w:t xml:space="preserve">Vstupní, průběžná a výstupní kontrola kvality tiskovin.</w:t>
      </w:r>
    </w:p>
    <w:p>
      <w:pPr>
        <w:numPr>
          <w:ilvl w:val="0"/>
          <w:numId w:val="5"/>
        </w:numPr>
      </w:pPr>
      <w:r>
        <w:rPr/>
        <w:t xml:space="preserve">Předání kompletního a kvalitně vytištěného nákladu.</w:t>
      </w:r>
    </w:p>
    <w:p>
      <w:pPr>
        <w:numPr>
          <w:ilvl w:val="0"/>
          <w:numId w:val="5"/>
        </w:numPr>
      </w:pPr>
      <w:r>
        <w:rPr/>
        <w:t xml:space="preserve">Evidence technických dat o průběhu a výsledcích provedené práce.</w:t>
      </w:r>
    </w:p>
    <w:p/>
    <w:p>
      <w:pPr>
        <w:pStyle w:val="Heading2"/>
      </w:pPr>
      <w:bookmarkStart w:id="2" w:name="_Toc2"/>
      <w:r>
        <w:t>CZ-ISCO</w:t>
      </w:r>
      <w:bookmarkEnd w:id="2"/>
    </w:p>
    <w:p>
      <w:pPr>
        <w:numPr>
          <w:ilvl w:val="0"/>
          <w:numId w:val="5"/>
        </w:numPr>
      </w:pPr>
      <w:r>
        <w:rPr/>
        <w:t xml:space="preserve">Tiskaři</w:t>
      </w:r>
    </w:p>
    <w:p>
      <w:pPr>
        <w:numPr>
          <w:ilvl w:val="0"/>
          <w:numId w:val="5"/>
        </w:numPr>
      </w:pPr>
      <w:r>
        <w:rPr/>
        <w:t xml:space="preserve">Tiskaři</w:t>
      </w:r>
    </w:p>
    <w:p/>
    <w:p>
      <w:pPr>
        <w:pStyle w:val="Heading3"/>
      </w:pPr>
      <w:bookmarkStart w:id="3" w:name="_Toc3"/>
      <w:r>
        <w:t>Hrubé měsíční mzdy podle krajů v roce 2025</w:t>
      </w:r>
      <w:bookmarkEnd w:id="3"/>
    </w:p>
    <w:p>
      <w:pPr>
        <w:pStyle w:val="Heading4"/>
      </w:pPr>
      <w:bookmarkStart w:id="4" w:name="_Toc4"/>
      <w:r>
        <w:t>Tiskaři (CZ-ISCO 7322)</w:t>
      </w:r>
      <w:bookmarkEnd w:id="4"/>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tblCellMar>
          <w:top w:w="80" w:type="dxa"/>
          <w:left w:w="80" w:type="dxa"/>
          <w:right w:w="80" w:type="dxa"/>
          <w:bottom w:w="80" w:type="dxa"/>
        </w:tblCellMar>
      </w:tblPr>
      <w:tr>
        <w:trPr/>
        <w:tc>
          <w:tcPr>
            <w:tcW w:w="2400" w:type="dxa"/>
            <w:noWrap/>
          </w:tcPr>
          <w:p/>
        </w:tc>
        <w:tc>
          <w:tcPr>
            <w:tcW w:w="3300" w:type="dxa"/>
            <w:gridSpan w:val="3"/>
            <w:noWrap/>
          </w:tcPr>
          <w:p>
            <w:pPr>
              <w:jc w:val="center"/>
            </w:pPr>
            <w:r>
              <w:rPr>
                <w:b w:val="1"/>
                <w:bCs w:val="1"/>
              </w:rPr>
              <w:t xml:space="preserve">Mzdová sféra</w:t>
            </w:r>
          </w:p>
        </w:tc>
        <w:tc>
          <w:tcPr>
            <w:tcW w:w="3300" w:type="dxa"/>
            <w:gridSpan w:val="3"/>
            <w:noWrap/>
          </w:tcPr>
          <w:p>
            <w:pPr>
              <w:jc w:val="center"/>
            </w:pPr>
            <w:r>
              <w:rPr>
                <w:b w:val="1"/>
                <w:bCs w:val="1"/>
              </w:rPr>
              <w:t xml:space="preserve">Platová sféra</w:t>
            </w:r>
          </w:p>
        </w:tc>
      </w:tr>
      <w:tr>
        <w:trPr/>
        <w:tc>
          <w:tcPr>
            <w:tcW w:w="2400" w:type="dxa"/>
            <w:noWrap/>
          </w:tcPr>
          <w:p>
            <w:pPr/>
            <w:r>
              <w:rPr>
                <w:b w:val="1"/>
                <w:bCs w:val="1"/>
              </w:rPr>
              <w:t xml:space="preserve">Kraj</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r>
      <w:tr>
        <w:trPr/>
        <w:tc>
          <w:tcPr>
            <w:tcW w:w="2000" w:type="dxa"/>
            <w:noWrap/>
          </w:tcPr>
          <w:p>
            <w:pPr/>
            <w:r>
              <w:rPr/>
              <w:t xml:space="preserve">Jihočeský kraj</w:t>
            </w:r>
          </w:p>
        </w:tc>
        <w:tc>
          <w:tcPr>
            <w:tcW w:w="1000" w:type="dxa"/>
            <w:noWrap/>
          </w:tcPr>
          <w:p>
            <w:pPr>
              <w:jc w:val="center"/>
            </w:pPr>
            <w:r>
              <w:rPr/>
              <w:t xml:space="preserve">33 928 Kč</w:t>
            </w:r>
          </w:p>
        </w:tc>
        <w:tc>
          <w:tcPr>
            <w:tcW w:w="1000" w:type="dxa"/>
            <w:noWrap/>
          </w:tcPr>
          <w:p>
            <w:pPr>
              <w:jc w:val="center"/>
            </w:pPr>
            <w:r>
              <w:rPr/>
              <w:t xml:space="preserve">50 662 Kč</w:t>
            </w:r>
          </w:p>
        </w:tc>
        <w:tc>
          <w:tcPr>
            <w:tcW w:w="1000" w:type="dxa"/>
            <w:noWrap/>
          </w:tcPr>
          <w:p>
            <w:pPr>
              <w:jc w:val="center"/>
            </w:pPr>
            <w:r>
              <w:rPr/>
              <w:t xml:space="preserve">82 437 Kč</w:t>
            </w:r>
          </w:p>
        </w:tc>
        <w:tc>
          <w:tcPr>
            <w:tcW w:w="1000" w:type="dxa"/>
            <w:noWrap/>
          </w:tcPr>
          <w:p/>
        </w:tc>
        <w:tc>
          <w:tcPr>
            <w:tcW w:w="1000" w:type="dxa"/>
            <w:noWrap/>
          </w:tcPr>
          <w:p/>
        </w:tc>
        <w:tc>
          <w:tcPr>
            <w:tcW w:w="1000" w:type="dxa"/>
            <w:noWrap/>
          </w:tcPr>
          <w:p/>
        </w:tc>
      </w:tr>
    </w:tbl>
    <w:p/>
    <w:p>
      <w:pPr>
        <w:pStyle w:val="Heading3"/>
      </w:pPr>
      <w:bookmarkStart w:id="5" w:name="_Toc5"/>
      <w:r>
        <w:t>Hrubé měsíční mzdy v roce 2025 celkem</w:t>
      </w:r>
      <w:bookmarkEnd w:id="5"/>
    </w:p>
    <w:tbl>
      <w:tblGrid>
        <w:gridCol w:w="1000" w:type="dxa"/>
        <w:gridCol w:w="2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gridSpan w:val="2"/>
            <w:noWrap/>
          </w:tcPr>
          <w:p/>
        </w:tc>
        <w:tc>
          <w:tcPr>
            <w:tcW w:w="6000" w:type="dxa"/>
            <w:gridSpan w:val="2"/>
            <w:noWrap/>
          </w:tcPr>
          <w:p>
            <w:pPr>
              <w:jc w:val="center"/>
            </w:pPr>
            <w:r>
              <w:rPr>
                <w:b w:val="1"/>
                <w:bCs w:val="1"/>
              </w:rPr>
              <w:t xml:space="preserve">Medián za ČR celkem</w:t>
            </w:r>
          </w:p>
        </w:tc>
      </w:tr>
      <w:tr>
        <w:trPr/>
        <w:tc>
          <w:tcPr>
            <w:tcW w:w="1000" w:type="dxa"/>
            <w:noWrap/>
          </w:tcPr>
          <w:p>
            <w:pPr/>
            <w:r>
              <w:rPr>
                <w:b w:val="1"/>
                <w:bCs w:val="1"/>
              </w:rPr>
              <w:t xml:space="preserve">CZ-ISCO</w:t>
            </w:r>
          </w:p>
        </w:tc>
        <w:tc>
          <w:tcPr>
            <w:tcW w:w="2000" w:type="dxa"/>
            <w:noWrap/>
          </w:tcPr>
          <w:p/>
        </w:tc>
        <w:tc>
          <w:tcPr>
            <w:tcW w:w="3000" w:type="dxa"/>
            <w:noWrap/>
          </w:tcPr>
          <w:p>
            <w:pPr>
              <w:jc w:val="center"/>
            </w:pPr>
            <w:r>
              <w:rPr>
                <w:b w:val="1"/>
                <w:bCs w:val="1"/>
              </w:rPr>
              <w:t xml:space="preserve">Mzdová sféra</w:t>
            </w:r>
          </w:p>
        </w:tc>
        <w:tc>
          <w:tcPr>
            <w:tcW w:w="3000" w:type="dxa"/>
            <w:noWrap/>
          </w:tcPr>
          <w:p>
            <w:pPr>
              <w:jc w:val="center"/>
            </w:pPr>
            <w:r>
              <w:rPr>
                <w:b w:val="1"/>
                <w:bCs w:val="1"/>
              </w:rPr>
              <w:t xml:space="preserve">Platová sféra</w:t>
            </w:r>
          </w:p>
        </w:tc>
      </w:tr>
      <w:tr>
        <w:trPr/>
        <w:tc>
          <w:tcPr>
            <w:tcW w:w="1000" w:type="dxa"/>
            <w:noWrap/>
          </w:tcPr>
          <w:p>
            <w:pPr>
              <w:jc w:val="center"/>
            </w:pPr>
            <w:r>
              <w:rPr/>
              <w:t xml:space="preserve">7322</w:t>
            </w:r>
          </w:p>
        </w:tc>
        <w:tc>
          <w:tcPr>
            <w:tcW w:w="2000" w:type="dxa"/>
            <w:noWrap/>
          </w:tcPr>
          <w:p>
            <w:pPr/>
            <w:r>
              <w:rPr/>
              <w:t xml:space="preserve">Tiskaři</w:t>
            </w:r>
          </w:p>
        </w:tc>
        <w:tc>
          <w:tcPr>
            <w:tcW w:w="1000" w:type="dxa"/>
            <w:noWrap/>
          </w:tcPr>
          <w:p>
            <w:pPr>
              <w:jc w:val="center"/>
            </w:pPr>
            <w:r>
              <w:rPr/>
              <w:t xml:space="preserve">-</w:t>
            </w:r>
          </w:p>
        </w:tc>
        <w:tc>
          <w:tcPr>
            <w:tcW w:w="1000" w:type="dxa"/>
            <w:noWrap/>
          </w:tcPr>
          <w:p>
            <w:pPr>
              <w:jc w:val="center"/>
            </w:pPr>
            <w:r>
              <w:rPr/>
              <w:t xml:space="preserve">33 864 Kč</w:t>
            </w:r>
          </w:p>
        </w:tc>
      </w:tr>
    </w:tbl>
    <w:p/>
    <w:p>
      <w:pPr>
        <w:pStyle w:val="Heading2"/>
      </w:pPr>
      <w:bookmarkStart w:id="6" w:name="_Toc6"/>
      <w:r>
        <w:t>ESCO</w:t>
      </w:r>
      <w:bookmarkEnd w:id="6"/>
    </w:p>
    <w:tbl>
      <w:tblGrid>
        <w:gridCol w:w="3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jc w:val="center"/>
            </w:pPr>
            <w:r>
              <w:rPr>
                <w:b w:val="1"/>
                <w:bCs w:val="1"/>
              </w:rPr>
              <w:t xml:space="preserve">Kód podskupiny</w:t>
            </w:r>
          </w:p>
        </w:tc>
        <w:tc>
          <w:tcPr>
            <w:tcW w:w="3000" w:type="dxa"/>
            <w:noWrap/>
          </w:tcPr>
          <w:p>
            <w:pPr>
              <w:jc w:val="center"/>
            </w:pPr>
            <w:r>
              <w:rPr>
                <w:b w:val="1"/>
                <w:bCs w:val="1"/>
              </w:rPr>
              <w:t xml:space="preserve">Název podskupiny v ESCO</w:t>
            </w:r>
          </w:p>
        </w:tc>
        <w:tc>
          <w:tcPr>
            <w:tcW w:w="3000" w:type="dxa"/>
            <w:noWrap/>
          </w:tcPr>
          <w:p>
            <w:pPr>
              <w:jc w:val="center"/>
            </w:pPr>
            <w:r>
              <w:rPr>
                <w:b w:val="1"/>
                <w:bCs w:val="1"/>
              </w:rPr>
              <w:t xml:space="preserve">URL - podskupiny v ESCO</w:t>
            </w:r>
          </w:p>
        </w:tc>
      </w:tr>
      <w:tr>
        <w:trPr/>
        <w:tc>
          <w:tcPr>
            <w:tcW w:w="3000" w:type="dxa"/>
            <w:noWrap/>
          </w:tcPr>
          <w:p>
            <w:pPr/>
            <w:r>
              <w:rPr/>
              <w:t xml:space="preserve">7322</w:t>
            </w:r>
          </w:p>
        </w:tc>
        <w:tc>
          <w:tcPr>
            <w:tcW w:w="3000" w:type="dxa"/>
            <w:noWrap/>
          </w:tcPr>
          <w:p>
            <w:pPr/>
            <w:r>
              <w:rPr/>
              <w:t xml:space="preserve">Tiskaři</w:t>
            </w:r>
          </w:p>
        </w:tc>
        <w:tc>
          <w:tcPr>
            <w:tcW w:w="3000" w:type="dxa"/>
            <w:noWrap/>
          </w:tcPr>
          <w:p>
            <w:pPr/>
            <w:r>
              <w:rPr/>
              <w:t xml:space="preserve">http://data.europa.eu/esco/isco/C7322</w:t>
            </w:r>
          </w:p>
        </w:tc>
      </w:tr>
    </w:tbl>
    <w:p/>
    <w:p/>
    <w:p/>
    <w:p>
      <w:pPr>
        <w:pStyle w:val="Heading2"/>
      </w:pPr>
      <w:bookmarkStart w:id="7" w:name="_Toc7"/>
      <w:r>
        <w:t>Příklady činností</w:t>
      </w:r>
      <w:bookmarkEnd w:id="7"/>
    </w:p>
    <w:tbl>
      <w:tblGrid>
        <w:gridCol w:w="7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7000" w:type="dxa"/>
            <w:noWrap/>
          </w:tcPr>
          <w:p>
            <w:pPr/>
            <w:r>
              <w:rPr>
                <w:b w:val="1"/>
                <w:bCs w:val="1"/>
              </w:rPr>
              <w:t xml:space="preserve">Příklady činností ze veřejného sektoru</w:t>
            </w:r>
          </w:p>
        </w:tc>
        <w:tc>
          <w:tcPr>
            <w:tcW w:w="2000" w:type="dxa"/>
            <w:noWrap/>
          </w:tcPr>
          <w:p>
            <w:pPr>
              <w:jc w:val="center"/>
            </w:pPr>
            <w:r>
              <w:rPr>
                <w:b w:val="1"/>
                <w:bCs w:val="1"/>
              </w:rPr>
              <w:t xml:space="preserve">Platová třída</w:t>
            </w:r>
          </w:p>
        </w:tc>
      </w:tr>
      <w:tr>
        <w:trPr/>
        <w:tc>
          <w:tcPr>
            <w:tcW w:w="7000" w:type="dxa"/>
            <w:noWrap/>
          </w:tcPr>
          <w:p>
            <w:pPr/>
            <w:r>
              <w:rPr/>
              <w:t xml:space="preserve">Příprava tiskové formy, seřizování stroje a tisk náročných barvotiskových prací, topografických, speciálních a atlasových map na počítačem řízeném více barvovém stroji do formátu A0.</w:t>
            </w:r>
          </w:p>
        </w:tc>
        <w:tc>
          <w:tcPr>
            <w:tcW w:w="2000" w:type="dxa"/>
            <w:noWrap/>
          </w:tcPr>
          <w:p>
            <w:pPr>
              <w:jc w:val="center"/>
            </w:pPr>
            <w:r>
              <w:rPr/>
              <w:t xml:space="preserve">9</w:t>
            </w:r>
          </w:p>
        </w:tc>
      </w:tr>
      <w:tr>
        <w:trPr/>
        <w:tc>
          <w:tcPr>
            <w:tcW w:w="7000" w:type="dxa"/>
            <w:noWrap/>
          </w:tcPr>
          <w:p>
            <w:pPr/>
            <w:r>
              <w:rPr/>
              <w:t xml:space="preserve">Seřizování strojů a tisk náročných barvotiskových prací vyžadujících přesné dodržení barev a výtvarného rukopisu podle originálu, například uměleckých monografií a obrazů na archových strojích. Tisk topografických, speciálních a atlasových map. Tisk náročných barvotiskových prací na rychloběžných kotoučových rotačních strojích.</w:t>
            </w:r>
          </w:p>
        </w:tc>
        <w:tc>
          <w:tcPr>
            <w:tcW w:w="2000" w:type="dxa"/>
            <w:noWrap/>
          </w:tcPr>
          <w:p>
            <w:pPr>
              <w:jc w:val="center"/>
            </w:pPr>
            <w:r>
              <w:rPr/>
              <w:t xml:space="preserve">8</w:t>
            </w:r>
          </w:p>
        </w:tc>
      </w:tr>
      <w:tr>
        <w:trPr/>
        <w:tc>
          <w:tcPr>
            <w:tcW w:w="7000" w:type="dxa"/>
            <w:noWrap/>
          </w:tcPr>
          <w:p>
            <w:pPr/>
            <w:r>
              <w:rPr/>
              <w:t xml:space="preserve">Příprava tiskových forem, seřizování strojů a tisk na archových strojích barvotiskových prací.</w:t>
            </w:r>
          </w:p>
        </w:tc>
        <w:tc>
          <w:tcPr>
            <w:tcW w:w="2000" w:type="dxa"/>
            <w:noWrap/>
          </w:tcPr>
          <w:p>
            <w:pPr>
              <w:jc w:val="center"/>
            </w:pPr>
            <w:r>
              <w:rPr/>
              <w:t xml:space="preserve">7</w:t>
            </w:r>
          </w:p>
        </w:tc>
      </w:tr>
      <w:tr>
        <w:trPr/>
        <w:tc>
          <w:tcPr>
            <w:tcW w:w="7000" w:type="dxa"/>
            <w:noWrap/>
          </w:tcPr>
          <w:p>
            <w:pPr/>
            <w:r>
              <w:rPr/>
              <w:t xml:space="preserve">Příprava tiskových forem, seřizování strojů a tisk na archových strojích jednobarevných oboustranně současně tištěných prací, vícebarevných prací. Tisk barvotiskových prací na maloformátových strojích.</w:t>
            </w:r>
          </w:p>
        </w:tc>
        <w:tc>
          <w:tcPr>
            <w:tcW w:w="2000" w:type="dxa"/>
            <w:noWrap/>
          </w:tcPr>
          <w:p>
            <w:pPr>
              <w:jc w:val="center"/>
            </w:pPr>
            <w:r>
              <w:rPr/>
              <w:t xml:space="preserve">6</w:t>
            </w:r>
          </w:p>
        </w:tc>
      </w:tr>
      <w:tr>
        <w:trPr/>
        <w:tc>
          <w:tcPr>
            <w:tcW w:w="7000" w:type="dxa"/>
            <w:noWrap/>
          </w:tcPr>
          <w:p>
            <w:pPr/>
            <w:r>
              <w:rPr/>
              <w:t xml:space="preserve">Příprava tiskových forem, seřizování strojů a tisk jednobarevných prací jednostranných a oboustranných na archových strojích, tisk vícebarevných prací na maloformátových strojích.</w:t>
            </w:r>
          </w:p>
        </w:tc>
        <w:tc>
          <w:tcPr>
            <w:tcW w:w="2000" w:type="dxa"/>
            <w:noWrap/>
          </w:tcPr>
          <w:p>
            <w:pPr>
              <w:jc w:val="center"/>
            </w:pPr>
            <w:r>
              <w:rPr/>
              <w:t xml:space="preserve">5</w:t>
            </w:r>
          </w:p>
        </w:tc>
      </w:tr>
      <w:tr>
        <w:trPr/>
        <w:tc>
          <w:tcPr>
            <w:tcW w:w="7000" w:type="dxa"/>
            <w:noWrap/>
          </w:tcPr>
          <w:p>
            <w:pPr/>
            <w:r>
              <w:rPr/>
              <w:t xml:space="preserve">Příprava tiskové formy, seřizování stroje a tisk vícebarevných prací jedno a oboustranných na maloformátovém stroji do formátu B3.</w:t>
            </w:r>
          </w:p>
        </w:tc>
        <w:tc>
          <w:tcPr>
            <w:tcW w:w="2000" w:type="dxa"/>
            <w:noWrap/>
          </w:tcPr>
          <w:p>
            <w:pPr>
              <w:jc w:val="center"/>
            </w:pPr>
            <w:r>
              <w:rPr/>
              <w:t xml:space="preserve">4</w:t>
            </w:r>
          </w:p>
        </w:tc>
      </w:tr>
    </w:tbl>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Střední vzdělání s výučním listem v oboru tiskař na polygrafických strojích, tiskařské práce</w:t>
            </w:r>
          </w:p>
        </w:tc>
        <w:tc>
          <w:tcPr>
            <w:tcW w:w="2000" w:type="dxa"/>
            <w:noWrap/>
          </w:tcPr>
          <w:p>
            <w:pPr>
              <w:jc w:val="center"/>
            </w:pPr>
            <w:r>
              <w:rPr/>
              <w:t xml:space="preserve">3452H</w:t>
            </w:r>
          </w:p>
        </w:tc>
      </w:tr>
      <w:tr>
        <w:trPr/>
        <w:tc>
          <w:tcPr>
            <w:tcW w:w="2000" w:type="dxa"/>
            <w:noWrap/>
          </w:tcPr>
          <w:p>
            <w:pPr>
              <w:jc w:val="center"/>
            </w:pPr>
            <w:r>
              <w:rPr/>
              <w:t xml:space="preserve">AKSO</w:t>
            </w:r>
          </w:p>
        </w:tc>
        <w:tc>
          <w:tcPr>
            <w:tcW w:w="5000" w:type="dxa"/>
            <w:noWrap/>
          </w:tcPr>
          <w:p>
            <w:pPr/>
            <w:r>
              <w:rPr/>
              <w:t xml:space="preserve">Tiskař na polygrafických strojích</w:t>
            </w:r>
          </w:p>
        </w:tc>
        <w:tc>
          <w:tcPr>
            <w:tcW w:w="2000" w:type="dxa"/>
            <w:noWrap/>
          </w:tcPr>
          <w:p>
            <w:pPr>
              <w:jc w:val="center"/>
            </w:pPr>
            <w:r>
              <w:rPr/>
              <w:t xml:space="preserve">3452H01</w:t>
            </w:r>
          </w:p>
        </w:tc>
      </w:tr>
      <w:tr>
        <w:trPr/>
        <w:tc>
          <w:tcPr>
            <w:tcW w:w="2000" w:type="dxa"/>
            <w:noWrap/>
          </w:tcPr>
          <w:p>
            <w:pPr>
              <w:jc w:val="center"/>
            </w:pPr>
            <w:r>
              <w:rPr/>
              <w:t xml:space="preserve">AKSO</w:t>
            </w:r>
          </w:p>
        </w:tc>
        <w:tc>
          <w:tcPr>
            <w:tcW w:w="5000" w:type="dxa"/>
            <w:noWrap/>
          </w:tcPr>
          <w:p>
            <w:pPr/>
            <w:r>
              <w:rPr/>
              <w:t xml:space="preserve">Tiskař na polygrafických strojích</w:t>
            </w:r>
          </w:p>
        </w:tc>
        <w:tc>
          <w:tcPr>
            <w:tcW w:w="2000" w:type="dxa"/>
            <w:noWrap/>
          </w:tcPr>
          <w:p>
            <w:pPr>
              <w:jc w:val="center"/>
            </w:pPr>
            <w:r>
              <w:rPr/>
              <w:t xml:space="preserve">3452H001</w:t>
            </w:r>
          </w:p>
        </w:tc>
      </w:tr>
      <w:tr>
        <w:trPr/>
        <w:tc>
          <w:tcPr>
            <w:tcW w:w="2000" w:type="dxa"/>
            <w:noWrap/>
          </w:tcPr>
          <w:p>
            <w:pPr>
              <w:jc w:val="center"/>
            </w:pPr>
            <w:r>
              <w:rPr/>
              <w:t xml:space="preserve">RVP</w:t>
            </w:r>
          </w:p>
        </w:tc>
        <w:tc>
          <w:tcPr>
            <w:tcW w:w="5000" w:type="dxa"/>
            <w:noWrap/>
          </w:tcPr>
          <w:p>
            <w:pPr/>
            <w:r>
              <w:rPr/>
              <w:t xml:space="preserve">Tiskař na polygrafických strojích</w:t>
            </w:r>
          </w:p>
        </w:tc>
        <w:tc>
          <w:tcPr>
            <w:tcW w:w="2000" w:type="dxa"/>
            <w:noWrap/>
          </w:tcPr>
          <w:p>
            <w:pPr>
              <w:jc w:val="center"/>
            </w:pPr>
            <w:r>
              <w:rPr/>
              <w:t xml:space="preserve">34-52-H/01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Střední vzdělání s výučním listem ve skupině oborů polygrafie, zpracování papíru, filmu a fotografie</w:t>
            </w:r>
          </w:p>
        </w:tc>
        <w:tc>
          <w:tcPr>
            <w:tcW w:w="2000" w:type="dxa"/>
            <w:noWrap/>
          </w:tcPr>
          <w:p>
            <w:pPr>
              <w:jc w:val="center"/>
            </w:pPr>
            <w:r>
              <w:rPr/>
              <w:t xml:space="preserve">34xxH</w:t>
            </w:r>
          </w:p>
        </w:tc>
      </w:tr>
    </w:tbl>
    <w:p/>
    <w:p>
      <w:pPr>
        <w:pStyle w:val="Heading3"/>
      </w:pPr>
      <w:bookmarkStart w:id="13" w:name="_Toc13"/>
      <w:r>
        <w:t>Další vzdělání</w:t>
      </w:r>
      <w:bookmarkEnd w:id="13"/>
    </w:p>
    <w:p>
      <w:pPr>
        <w:pStyle w:val="Heading4"/>
      </w:pPr>
      <w:bookmarkStart w:id="14" w:name="_Toc14"/>
      <w:r>
        <w:t>Profesní kvalifikace</w:t>
      </w:r>
      <w:bookmarkEnd w:id="14"/>
    </w:p>
    <w:p>
      <w:pPr>
        <w:numPr>
          <w:ilvl w:val="0"/>
          <w:numId w:val="5"/>
        </w:numPr>
      </w:pPr>
      <w:r>
        <w:rPr/>
        <w:t xml:space="preserve">Tiskař/tiskařka na ofsetových archových strojích (34-010-H)</w:t>
      </w:r>
    </w:p>
    <w:p>
      <w:pPr>
        <w:numPr>
          <w:ilvl w:val="0"/>
          <w:numId w:val="5"/>
        </w:numPr>
      </w:pPr>
      <w:r>
        <w:rPr/>
        <w:t xml:space="preserve">Tiskař/tiskařka na hlubotiskových kotoučových strojích (34-012-H)</w:t>
      </w:r>
    </w:p>
    <w:p>
      <w:pPr>
        <w:numPr>
          <w:ilvl w:val="0"/>
          <w:numId w:val="5"/>
        </w:numPr>
      </w:pPr>
      <w:r>
        <w:rPr/>
        <w:t xml:space="preserve">Tiskař/tiskařka na sítotiskových strojích (34-013-H)</w:t>
      </w:r>
    </w:p>
    <w:p>
      <w:pPr>
        <w:numPr>
          <w:ilvl w:val="0"/>
          <w:numId w:val="5"/>
        </w:numPr>
      </w:pPr>
      <w:r>
        <w:rPr/>
        <w:t xml:space="preserve">Tiskař/tiskařka na akcidenčních ofsetových kotoučových strojích (34-026-H)</w:t>
      </w:r>
    </w:p>
    <w:p>
      <w:pPr>
        <w:numPr>
          <w:ilvl w:val="0"/>
          <w:numId w:val="5"/>
        </w:numPr>
      </w:pPr>
      <w:r>
        <w:rPr/>
        <w:t xml:space="preserve">Tiskař/tiskařka na novinových ofsetových kotoučových strojích (34-027-H)</w:t>
      </w:r>
    </w:p>
    <w:p>
      <w:pPr>
        <w:numPr>
          <w:ilvl w:val="0"/>
          <w:numId w:val="5"/>
        </w:numPr>
      </w:pPr>
      <w:r>
        <w:rPr/>
        <w:t xml:space="preserve">Tiskař/tiskařka na širokoformátových flexotiskových kotoučových strojích (34-028-H)</w:t>
      </w:r>
    </w:p>
    <w:p>
      <w:pPr>
        <w:numPr>
          <w:ilvl w:val="0"/>
          <w:numId w:val="5"/>
        </w:numPr>
      </w:pPr>
      <w:r>
        <w:rPr/>
        <w:t xml:space="preserve">Tiskař/tiskařka na úzkoformátových flexotiskových kotoučových strojích (34-029-H)</w:t>
      </w:r>
    </w:p>
    <w:p/>
    <w:p/>
    <w:p>
      <w:pPr>
        <w:pStyle w:val="Heading2"/>
      </w:pPr>
      <w:bookmarkStart w:id="15" w:name="_Toc15"/>
      <w:r>
        <w:t>Kompetenční požadavky</w:t>
      </w:r>
      <w:bookmarkEnd w:id="15"/>
    </w:p>
    <w:p>
      <w:pPr>
        <w:pStyle w:val="Heading3"/>
      </w:pPr>
      <w:bookmarkStart w:id="16" w:name="_Toc16"/>
      <w:r>
        <w:t>Odborné dovednosti</w:t>
      </w:r>
      <w:bookmarkEnd w:id="16"/>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m16.D.2901</w:t>
            </w:r>
          </w:p>
        </w:tc>
        <w:tc>
          <w:tcPr>
            <w:tcW w:w="3000" w:type="dxa"/>
            <w:noWrap/>
          </w:tcPr>
          <w:p>
            <w:pPr/>
            <w:r>
              <w:rPr/>
              <w:t xml:space="preserve">Volba postupu tiskařské práce, potřebných pomůcek a barev</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m16.A.6010</w:t>
            </w:r>
          </w:p>
        </w:tc>
        <w:tc>
          <w:tcPr>
            <w:tcW w:w="3000" w:type="dxa"/>
            <w:noWrap/>
          </w:tcPr>
          <w:p>
            <w:pPr/>
            <w:r>
              <w:rPr/>
              <w:t xml:space="preserve">Manipulace s polygrafickými materiály při transportu a jejich přípravě</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m16.D.3051</w:t>
            </w:r>
          </w:p>
        </w:tc>
        <w:tc>
          <w:tcPr>
            <w:tcW w:w="3000" w:type="dxa"/>
            <w:noWrap/>
          </w:tcPr>
          <w:p>
            <w:pPr/>
            <w:r>
              <w:rPr/>
              <w:t xml:space="preserve">Převzetí a příprava potiskovaného materiálu, tiskových forem a tiskových barev</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m16.A.4011</w:t>
            </w:r>
          </w:p>
        </w:tc>
        <w:tc>
          <w:tcPr>
            <w:tcW w:w="3000" w:type="dxa"/>
            <w:noWrap/>
          </w:tcPr>
          <w:p>
            <w:pPr/>
            <w:r>
              <w:rPr/>
              <w:t xml:space="preserve">Příprava a seřízení tiskařských strojů</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m16.B.1057</w:t>
            </w:r>
          </w:p>
        </w:tc>
        <w:tc>
          <w:tcPr>
            <w:tcW w:w="3000" w:type="dxa"/>
            <w:noWrap/>
          </w:tcPr>
          <w:p>
            <w:pPr/>
            <w:r>
              <w:rPr/>
              <w:t xml:space="preserve">Dodržení normativů při tisku celé zakázky</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m16.B.2049</w:t>
            </w:r>
          </w:p>
        </w:tc>
        <w:tc>
          <w:tcPr>
            <w:tcW w:w="3000" w:type="dxa"/>
            <w:noWrap/>
          </w:tcPr>
          <w:p>
            <w:pPr/>
            <w:r>
              <w:rPr/>
              <w:t xml:space="preserve">Provádění základní barevné korekce barevných obrazů</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m16.B.1021</w:t>
            </w:r>
          </w:p>
        </w:tc>
        <w:tc>
          <w:tcPr>
            <w:tcW w:w="3000" w:type="dxa"/>
            <w:noWrap/>
          </w:tcPr>
          <w:p>
            <w:pPr/>
            <w:r>
              <w:rPr/>
              <w:t xml:space="preserve">Zhotovování montáží pro jednobarevný tisk</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m16.B.1027</w:t>
            </w:r>
          </w:p>
        </w:tc>
        <w:tc>
          <w:tcPr>
            <w:tcW w:w="3000" w:type="dxa"/>
            <w:noWrap/>
          </w:tcPr>
          <w:p>
            <w:pPr/>
            <w:r>
              <w:rPr/>
              <w:t xml:space="preserve">Zhotovování tiskových forem pro ofset a sítotisk kopírováním</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e41.B.2004</w:t>
            </w:r>
          </w:p>
        </w:tc>
        <w:tc>
          <w:tcPr>
            <w:tcW w:w="3000" w:type="dxa"/>
            <w:noWrap/>
          </w:tcPr>
          <w:p>
            <w:pPr/>
            <w:r>
              <w:rPr/>
              <w:t xml:space="preserve">Řízení programové řezačky na formátové řezání papíru, včetně třídění, počítání a stohování papírenských výrobků.</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m16.A.6011</w:t>
            </w:r>
          </w:p>
        </w:tc>
        <w:tc>
          <w:tcPr>
            <w:tcW w:w="3000" w:type="dxa"/>
            <w:noWrap/>
          </w:tcPr>
          <w:p>
            <w:pPr/>
            <w:r>
              <w:rPr/>
              <w:t xml:space="preserve">Skládání a balení knih, časopisů, letáků a dalších polygrafických výrobků</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m16.A.4040</w:t>
            </w:r>
          </w:p>
        </w:tc>
        <w:tc>
          <w:tcPr>
            <w:tcW w:w="3000" w:type="dxa"/>
            <w:noWrap/>
          </w:tcPr>
          <w:p>
            <w:pPr/>
            <w:r>
              <w:rPr/>
              <w:t xml:space="preserve">Kontrola, údržba a čištění tiskového stroje</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m16.A.4021</w:t>
            </w:r>
          </w:p>
        </w:tc>
        <w:tc>
          <w:tcPr>
            <w:tcW w:w="3000" w:type="dxa"/>
            <w:noWrap/>
          </w:tcPr>
          <w:p>
            <w:pPr/>
            <w:r>
              <w:rPr/>
              <w:t xml:space="preserve">Ošetřování a údržba tiskařských strojů</w:t>
            </w:r>
          </w:p>
        </w:tc>
        <w:tc>
          <w:tcPr>
            <w:tcW w:w="2000" w:type="dxa"/>
            <w:noWrap/>
          </w:tcPr>
          <w:p>
            <w:pPr>
              <w:jc w:val="center"/>
            </w:pPr>
            <w:r>
              <w:rPr/>
              <w:t xml:space="preserve">3</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Odborné znalosti</w:t>
      </w:r>
      <w:bookmarkEnd w:id="17"/>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m16._.0021</w:t>
            </w:r>
          </w:p>
        </w:tc>
        <w:tc>
          <w:tcPr>
            <w:tcW w:w="3000" w:type="dxa"/>
            <w:noWrap/>
          </w:tcPr>
          <w:p>
            <w:pPr/>
            <w:r>
              <w:rPr/>
              <w:t xml:space="preserve">polygrafické materiály</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m16._.0098</w:t>
            </w:r>
          </w:p>
        </w:tc>
        <w:tc>
          <w:tcPr>
            <w:tcW w:w="3000" w:type="dxa"/>
            <w:noWrap/>
          </w:tcPr>
          <w:p>
            <w:pPr/>
            <w:r>
              <w:rPr/>
              <w:t xml:space="preserve">koordinace a kalibrace přístrojů</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m16._.0057</w:t>
            </w:r>
          </w:p>
        </w:tc>
        <w:tc>
          <w:tcPr>
            <w:tcW w:w="3000" w:type="dxa"/>
            <w:noWrap/>
          </w:tcPr>
          <w:p>
            <w:pPr/>
            <w:r>
              <w:rPr/>
              <w:t xml:space="preserve">normy a technické podklady v polygrafii</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m16._.0003</w:t>
            </w:r>
          </w:p>
        </w:tc>
        <w:tc>
          <w:tcPr>
            <w:tcW w:w="3000" w:type="dxa"/>
            <w:noWrap/>
          </w:tcPr>
          <w:p>
            <w:pPr/>
            <w:r>
              <w:rPr/>
              <w:t xml:space="preserve">tisk na polygrafických strojích</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m16._.0009</w:t>
            </w:r>
          </w:p>
        </w:tc>
        <w:tc>
          <w:tcPr>
            <w:tcW w:w="3000" w:type="dxa"/>
            <w:noWrap/>
          </w:tcPr>
          <w:p>
            <w:pPr/>
            <w:r>
              <w:rPr/>
              <w:t xml:space="preserve">technologie tisku</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m16._.0028</w:t>
            </w:r>
          </w:p>
        </w:tc>
        <w:tc>
          <w:tcPr>
            <w:tcW w:w="3000" w:type="dxa"/>
            <w:noWrap/>
          </w:tcPr>
          <w:p>
            <w:pPr/>
            <w:r>
              <w:rPr/>
              <w:t xml:space="preserve">systémy a technologie integrované polygrafické výroby</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m16._.0052</w:t>
            </w:r>
          </w:p>
        </w:tc>
        <w:tc>
          <w:tcPr>
            <w:tcW w:w="3000" w:type="dxa"/>
            <w:noWrap/>
          </w:tcPr>
          <w:p>
            <w:pPr/>
            <w:r>
              <w:rPr/>
              <w:t xml:space="preserve">normy jakosti a kvality v polygrafii</w:t>
            </w:r>
          </w:p>
        </w:tc>
        <w:tc>
          <w:tcPr>
            <w:tcW w:w="2000" w:type="dxa"/>
            <w:noWrap/>
          </w:tcPr>
          <w:p>
            <w:pPr>
              <w:jc w:val="center"/>
            </w:pPr>
            <w:r>
              <w:rPr/>
              <w:t xml:space="preserve">3</w:t>
            </w:r>
          </w:p>
        </w:tc>
        <w:tc>
          <w:tcPr>
            <w:tcW w:w="2000" w:type="dxa"/>
            <w:noWrap/>
          </w:tcPr>
          <w:p>
            <w:pPr>
              <w:jc w:val="center"/>
            </w:pPr>
            <w:r>
              <w:rPr/>
              <w:t xml:space="preserve">Výhodné</w:t>
            </w:r>
          </w:p>
        </w:tc>
      </w:tr>
      <w:tr>
        <w:trPr/>
        <w:tc>
          <w:tcPr>
            <w:tcW w:w="2000" w:type="dxa"/>
            <w:noWrap/>
          </w:tcPr>
          <w:p>
            <w:pPr>
              <w:jc w:val="center"/>
            </w:pPr>
            <w:r>
              <w:rPr/>
              <w:t xml:space="preserve">l24._.0018</w:t>
            </w:r>
          </w:p>
        </w:tc>
        <w:tc>
          <w:tcPr>
            <w:tcW w:w="3000" w:type="dxa"/>
            <w:noWrap/>
          </w:tcPr>
          <w:p>
            <w:pPr/>
            <w:r>
              <w:rPr/>
              <w:t xml:space="preserve">bezpečnost práce a požární ochrana</w:t>
            </w:r>
          </w:p>
        </w:tc>
        <w:tc>
          <w:tcPr>
            <w:tcW w:w="2000" w:type="dxa"/>
            <w:noWrap/>
          </w:tcPr>
          <w:p>
            <w:pPr>
              <w:jc w:val="center"/>
            </w:pPr>
            <w:r>
              <w:rPr/>
              <w:t xml:space="preserve">3</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8" w:name="_Toc18"/>
      <w:r>
        <w:t>Digitální kompetence</w:t>
      </w:r>
      <w:bookmarkEnd w:id="18"/>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1-4</w:t>
            </w:r>
          </w:p>
        </w:tc>
      </w:tr>
      <w:tr>
        <w:trPr/>
        <w:tc>
          <w:tcPr>
            <w:tcW w:w="2000" w:type="dxa"/>
            <w:noWrap/>
          </w:tcPr>
          <w:p>
            <w:pPr>
              <w:jc w:val="center"/>
            </w:pPr>
            <w:r>
              <w:rPr/>
              <w:t xml:space="preserve">1.1</w:t>
            </w:r>
          </w:p>
        </w:tc>
        <w:tc>
          <w:tcPr>
            <w:tcW w:w="5000" w:type="dxa"/>
            <w:noWrap/>
          </w:tcPr>
          <w:p>
            <w:pPr/>
            <w:r>
              <w:rPr/>
              <w:t xml:space="preserve">Prohlížení, vyhledávání a filtrování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1.2</w:t>
            </w:r>
          </w:p>
        </w:tc>
        <w:tc>
          <w:tcPr>
            <w:tcW w:w="5000" w:type="dxa"/>
            <w:noWrap/>
          </w:tcPr>
          <w:p>
            <w:pPr/>
            <w:r>
              <w:rPr/>
              <w:t xml:space="preserve">Hodnocení dat, informací a digitálního obsahu  </w:t>
            </w:r>
          </w:p>
        </w:tc>
        <w:tc>
          <w:tcPr>
            <w:tcW w:w="2000" w:type="dxa"/>
            <w:noWrap/>
          </w:tcPr>
          <w:p>
            <w:pPr>
              <w:jc w:val="center"/>
            </w:pPr>
            <w:r>
              <w:rPr/>
              <w:t xml:space="preserve">2</w:t>
            </w:r>
          </w:p>
        </w:tc>
      </w:tr>
      <w:tr>
        <w:trPr/>
        <w:tc>
          <w:tcPr>
            <w:tcW w:w="2000" w:type="dxa"/>
            <w:noWrap/>
          </w:tcPr>
          <w:p>
            <w:pPr>
              <w:jc w:val="center"/>
            </w:pPr>
            <w:r>
              <w:rPr/>
              <w:t xml:space="preserve">1.3</w:t>
            </w:r>
          </w:p>
        </w:tc>
        <w:tc>
          <w:tcPr>
            <w:tcW w:w="5000" w:type="dxa"/>
            <w:noWrap/>
          </w:tcPr>
          <w:p>
            <w:pPr/>
            <w:r>
              <w:rPr/>
              <w:t xml:space="preserve">Správa dat, informací a digitálního obsahu  </w:t>
            </w:r>
          </w:p>
        </w:tc>
        <w:tc>
          <w:tcPr>
            <w:tcW w:w="2000" w:type="dxa"/>
            <w:noWrap/>
          </w:tcPr>
          <w:p>
            <w:pPr>
              <w:jc w:val="center"/>
            </w:pPr>
            <w:r>
              <w:rPr/>
              <w:t xml:space="preserve">2</w:t>
            </w:r>
          </w:p>
        </w:tc>
      </w:tr>
      <w:tr>
        <w:trPr/>
        <w:tc>
          <w:tcPr>
            <w:tcW w:w="2000" w:type="dxa"/>
            <w:noWrap/>
          </w:tcPr>
          <w:p>
            <w:pPr>
              <w:jc w:val="center"/>
            </w:pPr>
            <w:r>
              <w:rPr/>
              <w:t xml:space="preserve">2.1</w:t>
            </w:r>
          </w:p>
        </w:tc>
        <w:tc>
          <w:tcPr>
            <w:tcW w:w="5000" w:type="dxa"/>
            <w:noWrap/>
          </w:tcPr>
          <w:p>
            <w:pPr/>
            <w:r>
              <w:rPr/>
              <w:t xml:space="preserve">Interakce prostřednictvím digitálních technologií  </w:t>
            </w:r>
          </w:p>
        </w:tc>
        <w:tc>
          <w:tcPr>
            <w:tcW w:w="2000" w:type="dxa"/>
            <w:noWrap/>
          </w:tcPr>
          <w:p>
            <w:pPr>
              <w:jc w:val="center"/>
            </w:pPr>
            <w:r>
              <w:rPr/>
              <w:t xml:space="preserve">2</w:t>
            </w:r>
          </w:p>
        </w:tc>
      </w:tr>
      <w:tr>
        <w:trPr/>
        <w:tc>
          <w:tcPr>
            <w:tcW w:w="2000" w:type="dxa"/>
            <w:noWrap/>
          </w:tcPr>
          <w:p>
            <w:pPr>
              <w:jc w:val="center"/>
            </w:pPr>
            <w:r>
              <w:rPr/>
              <w:t xml:space="preserve">2.2</w:t>
            </w:r>
          </w:p>
        </w:tc>
        <w:tc>
          <w:tcPr>
            <w:tcW w:w="5000" w:type="dxa"/>
            <w:noWrap/>
          </w:tcPr>
          <w:p>
            <w:pPr/>
            <w:r>
              <w:rPr/>
              <w:t xml:space="preserve">Sdílení prostřednictvím digitálních technologií  </w:t>
            </w:r>
          </w:p>
        </w:tc>
        <w:tc>
          <w:tcPr>
            <w:tcW w:w="2000" w:type="dxa"/>
            <w:noWrap/>
          </w:tcPr>
          <w:p>
            <w:pPr>
              <w:jc w:val="center"/>
            </w:pPr>
            <w:r>
              <w:rPr/>
              <w:t xml:space="preserve">3</w:t>
            </w:r>
          </w:p>
        </w:tc>
      </w:tr>
      <w:tr>
        <w:trPr/>
        <w:tc>
          <w:tcPr>
            <w:tcW w:w="2000" w:type="dxa"/>
            <w:noWrap/>
          </w:tcPr>
          <w:p>
            <w:pPr>
              <w:jc w:val="center"/>
            </w:pPr>
            <w:r>
              <w:rPr/>
              <w:t xml:space="preserve">2.4</w:t>
            </w:r>
          </w:p>
        </w:tc>
        <w:tc>
          <w:tcPr>
            <w:tcW w:w="5000" w:type="dxa"/>
            <w:noWrap/>
          </w:tcPr>
          <w:p>
            <w:pPr/>
            <w:r>
              <w:rPr/>
              <w:t xml:space="preserve">Spolupráce prostřednictvím digitálních technologií  </w:t>
            </w:r>
          </w:p>
        </w:tc>
        <w:tc>
          <w:tcPr>
            <w:tcW w:w="2000" w:type="dxa"/>
            <w:noWrap/>
          </w:tcPr>
          <w:p>
            <w:pPr>
              <w:jc w:val="center"/>
            </w:pPr>
            <w:r>
              <w:rPr/>
              <w:t xml:space="preserve">2</w:t>
            </w:r>
          </w:p>
        </w:tc>
      </w:tr>
      <w:tr>
        <w:trPr/>
        <w:tc>
          <w:tcPr>
            <w:tcW w:w="2000" w:type="dxa"/>
            <w:noWrap/>
          </w:tcPr>
          <w:p>
            <w:pPr>
              <w:jc w:val="center"/>
            </w:pPr>
            <w:r>
              <w:rPr/>
              <w:t xml:space="preserve">2.5</w:t>
            </w:r>
          </w:p>
        </w:tc>
        <w:tc>
          <w:tcPr>
            <w:tcW w:w="5000" w:type="dxa"/>
            <w:noWrap/>
          </w:tcPr>
          <w:p>
            <w:pPr/>
            <w:r>
              <w:rPr/>
              <w:t xml:space="preserve">Netiketa  </w:t>
            </w:r>
          </w:p>
        </w:tc>
        <w:tc>
          <w:tcPr>
            <w:tcW w:w="2000" w:type="dxa"/>
            <w:noWrap/>
          </w:tcPr>
          <w:p>
            <w:pPr>
              <w:jc w:val="center"/>
            </w:pPr>
            <w:r>
              <w:rPr/>
              <w:t xml:space="preserve">1</w:t>
            </w:r>
          </w:p>
        </w:tc>
      </w:tr>
      <w:tr>
        <w:trPr/>
        <w:tc>
          <w:tcPr>
            <w:tcW w:w="2000" w:type="dxa"/>
            <w:noWrap/>
          </w:tcPr>
          <w:p>
            <w:pPr>
              <w:jc w:val="center"/>
            </w:pPr>
            <w:r>
              <w:rPr/>
              <w:t xml:space="preserve">3.1</w:t>
            </w:r>
          </w:p>
        </w:tc>
        <w:tc>
          <w:tcPr>
            <w:tcW w:w="5000" w:type="dxa"/>
            <w:noWrap/>
          </w:tcPr>
          <w:p>
            <w:pPr/>
            <w:r>
              <w:rPr/>
              <w:t xml:space="preserve">Tvorba digitálního obsahu  </w:t>
            </w:r>
          </w:p>
        </w:tc>
        <w:tc>
          <w:tcPr>
            <w:tcW w:w="2000" w:type="dxa"/>
            <w:noWrap/>
          </w:tcPr>
          <w:p>
            <w:pPr>
              <w:jc w:val="center"/>
            </w:pPr>
            <w:r>
              <w:rPr/>
              <w:t xml:space="preserve">3</w:t>
            </w:r>
          </w:p>
        </w:tc>
      </w:tr>
      <w:tr>
        <w:trPr/>
        <w:tc>
          <w:tcPr>
            <w:tcW w:w="2000" w:type="dxa"/>
            <w:noWrap/>
          </w:tcPr>
          <w:p>
            <w:pPr>
              <w:jc w:val="center"/>
            </w:pPr>
            <w:r>
              <w:rPr/>
              <w:t xml:space="preserve">3.2</w:t>
            </w:r>
          </w:p>
        </w:tc>
        <w:tc>
          <w:tcPr>
            <w:tcW w:w="5000" w:type="dxa"/>
            <w:noWrap/>
          </w:tcPr>
          <w:p>
            <w:pPr/>
            <w:r>
              <w:rPr/>
              <w:t xml:space="preserve">Integrace a přepracování digitálního obsahu  </w:t>
            </w:r>
          </w:p>
        </w:tc>
        <w:tc>
          <w:tcPr>
            <w:tcW w:w="2000" w:type="dxa"/>
            <w:noWrap/>
          </w:tcPr>
          <w:p>
            <w:pPr>
              <w:jc w:val="center"/>
            </w:pPr>
            <w:r>
              <w:rPr/>
              <w:t xml:space="preserve">2</w:t>
            </w:r>
          </w:p>
        </w:tc>
      </w:tr>
      <w:tr>
        <w:trPr/>
        <w:tc>
          <w:tcPr>
            <w:tcW w:w="2000" w:type="dxa"/>
            <w:noWrap/>
          </w:tcPr>
          <w:p>
            <w:pPr>
              <w:jc w:val="center"/>
            </w:pPr>
            <w:r>
              <w:rPr/>
              <w:t xml:space="preserve">3.3</w:t>
            </w:r>
          </w:p>
        </w:tc>
        <w:tc>
          <w:tcPr>
            <w:tcW w:w="5000" w:type="dxa"/>
            <w:noWrap/>
          </w:tcPr>
          <w:p>
            <w:pPr/>
            <w:r>
              <w:rPr/>
              <w:t xml:space="preserve">Autorská práva a licence  </w:t>
            </w:r>
          </w:p>
        </w:tc>
        <w:tc>
          <w:tcPr>
            <w:tcW w:w="2000" w:type="dxa"/>
            <w:noWrap/>
          </w:tcPr>
          <w:p>
            <w:pPr>
              <w:jc w:val="center"/>
            </w:pPr>
            <w:r>
              <w:rPr/>
              <w:t xml:space="preserve">1</w:t>
            </w:r>
          </w:p>
        </w:tc>
      </w:tr>
      <w:tr>
        <w:trPr/>
        <w:tc>
          <w:tcPr>
            <w:tcW w:w="2000" w:type="dxa"/>
            <w:noWrap/>
          </w:tcPr>
          <w:p>
            <w:pPr>
              <w:jc w:val="center"/>
            </w:pPr>
            <w:r>
              <w:rPr/>
              <w:t xml:space="preserve">4.1</w:t>
            </w:r>
          </w:p>
        </w:tc>
        <w:tc>
          <w:tcPr>
            <w:tcW w:w="5000" w:type="dxa"/>
            <w:noWrap/>
          </w:tcPr>
          <w:p>
            <w:pPr/>
            <w:r>
              <w:rPr/>
              <w:t xml:space="preserve">Ochrana zařízení  </w:t>
            </w:r>
          </w:p>
        </w:tc>
        <w:tc>
          <w:tcPr>
            <w:tcW w:w="2000" w:type="dxa"/>
            <w:noWrap/>
          </w:tcPr>
          <w:p>
            <w:pPr>
              <w:jc w:val="center"/>
            </w:pPr>
            <w:r>
              <w:rPr/>
              <w:t xml:space="preserve">2</w:t>
            </w:r>
          </w:p>
        </w:tc>
      </w:tr>
      <w:tr>
        <w:trPr/>
        <w:tc>
          <w:tcPr>
            <w:tcW w:w="2000" w:type="dxa"/>
            <w:noWrap/>
          </w:tcPr>
          <w:p>
            <w:pPr>
              <w:jc w:val="center"/>
            </w:pPr>
            <w:r>
              <w:rPr/>
              <w:t xml:space="preserve">4.2</w:t>
            </w:r>
          </w:p>
        </w:tc>
        <w:tc>
          <w:tcPr>
            <w:tcW w:w="5000" w:type="dxa"/>
            <w:noWrap/>
          </w:tcPr>
          <w:p>
            <w:pPr/>
            <w:r>
              <w:rPr/>
              <w:t xml:space="preserve">Ochrana osobních dat a soukromí  </w:t>
            </w:r>
          </w:p>
        </w:tc>
        <w:tc>
          <w:tcPr>
            <w:tcW w:w="2000" w:type="dxa"/>
            <w:noWrap/>
          </w:tcPr>
          <w:p>
            <w:pPr>
              <w:jc w:val="center"/>
            </w:pPr>
            <w:r>
              <w:rPr/>
              <w:t xml:space="preserve">2</w:t>
            </w:r>
          </w:p>
        </w:tc>
      </w:tr>
      <w:tr>
        <w:trPr/>
        <w:tc>
          <w:tcPr>
            <w:tcW w:w="2000" w:type="dxa"/>
            <w:noWrap/>
          </w:tcPr>
          <w:p>
            <w:pPr>
              <w:jc w:val="center"/>
            </w:pPr>
            <w:r>
              <w:rPr/>
              <w:t xml:space="preserve">5.1</w:t>
            </w:r>
          </w:p>
        </w:tc>
        <w:tc>
          <w:tcPr>
            <w:tcW w:w="5000" w:type="dxa"/>
            <w:noWrap/>
          </w:tcPr>
          <w:p>
            <w:pPr/>
            <w:r>
              <w:rPr/>
              <w:t xml:space="preserve">Řešení technických problémů  </w:t>
            </w:r>
          </w:p>
        </w:tc>
        <w:tc>
          <w:tcPr>
            <w:tcW w:w="2000" w:type="dxa"/>
            <w:noWrap/>
          </w:tcPr>
          <w:p>
            <w:pPr>
              <w:jc w:val="center"/>
            </w:pPr>
            <w:r>
              <w:rPr/>
              <w:t xml:space="preserve">2</w:t>
            </w:r>
          </w:p>
        </w:tc>
      </w:tr>
      <w:tr>
        <w:trPr/>
        <w:tc>
          <w:tcPr>
            <w:tcW w:w="2000" w:type="dxa"/>
            <w:noWrap/>
          </w:tcPr>
          <w:p>
            <w:pPr>
              <w:jc w:val="center"/>
            </w:pPr>
            <w:r>
              <w:rPr/>
              <w:t xml:space="preserve">5.2</w:t>
            </w:r>
          </w:p>
        </w:tc>
        <w:tc>
          <w:tcPr>
            <w:tcW w:w="5000" w:type="dxa"/>
            <w:noWrap/>
          </w:tcPr>
          <w:p>
            <w:pPr/>
            <w:r>
              <w:rPr/>
              <w:t xml:space="preserve">Identifikace potřeb a výběr vhodných technologií  </w:t>
            </w:r>
          </w:p>
        </w:tc>
        <w:tc>
          <w:tcPr>
            <w:tcW w:w="2000" w:type="dxa"/>
            <w:noWrap/>
          </w:tcPr>
          <w:p>
            <w:pPr>
              <w:jc w:val="center"/>
            </w:pPr>
            <w:r>
              <w:rPr/>
              <w:t xml:space="preserve">2</w:t>
            </w:r>
          </w:p>
        </w:tc>
      </w:tr>
      <w:tr>
        <w:trPr/>
        <w:tc>
          <w:tcPr>
            <w:tcW w:w="2000" w:type="dxa"/>
            <w:noWrap/>
          </w:tcPr>
          <w:p>
            <w:pPr>
              <w:jc w:val="center"/>
            </w:pPr>
            <w:r>
              <w:rPr/>
              <w:t xml:space="preserve">5.3</w:t>
            </w:r>
          </w:p>
        </w:tc>
        <w:tc>
          <w:tcPr>
            <w:tcW w:w="5000" w:type="dxa"/>
            <w:noWrap/>
          </w:tcPr>
          <w:p>
            <w:pPr/>
            <w:r>
              <w:rPr/>
              <w:t xml:space="preserve">Kreativní využívání digitálních technologií  </w:t>
            </w:r>
          </w:p>
        </w:tc>
        <w:tc>
          <w:tcPr>
            <w:tcW w:w="2000" w:type="dxa"/>
            <w:noWrap/>
          </w:tcPr>
          <w:p>
            <w:pPr>
              <w:jc w:val="center"/>
            </w:pPr>
            <w:r>
              <w:rPr/>
              <w:t xml:space="preserve">2</w:t>
            </w:r>
          </w:p>
        </w:tc>
      </w:tr>
      <w:tr>
        <w:trPr/>
        <w:tc>
          <w:tcPr>
            <w:tcW w:w="2000" w:type="dxa"/>
            <w:noWrap/>
          </w:tcPr>
          <w:p>
            <w:pPr>
              <w:jc w:val="center"/>
            </w:pPr>
            <w:r>
              <w:rPr/>
              <w:t xml:space="preserve">5.4</w:t>
            </w:r>
          </w:p>
        </w:tc>
        <w:tc>
          <w:tcPr>
            <w:tcW w:w="5000" w:type="dxa"/>
            <w:noWrap/>
          </w:tcPr>
          <w:p>
            <w:pPr/>
            <w:r>
              <w:rPr/>
              <w:t xml:space="preserve">Identifikace nedostatků v digitálních kompetencích  </w:t>
            </w:r>
          </w:p>
        </w:tc>
        <w:tc>
          <w:tcPr>
            <w:tcW w:w="2000" w:type="dxa"/>
            <w:noWrap/>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9" w:name="_Toc19"/>
      <w:r>
        <w:t>Měkké kompetence</w:t>
      </w:r>
      <w:bookmarkEnd w:id="19"/>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0-5</w:t>
            </w:r>
          </w:p>
        </w:tc>
      </w:tr>
      <w:tr>
        <w:trPr/>
        <w:tc>
          <w:tcPr>
            <w:tcW w:w="2000" w:type="dxa"/>
            <w:noWrap/>
          </w:tcPr>
          <w:p>
            <w:pPr>
              <w:jc w:val="center"/>
            </w:pPr>
            <w:r>
              <w:rPr/>
              <w:t xml:space="preserve">1.1</w:t>
            </w:r>
          </w:p>
        </w:tc>
        <w:tc>
          <w:tcPr>
            <w:tcW w:w="5000" w:type="dxa"/>
            <w:noWrap/>
          </w:tcPr>
          <w:p>
            <w:pPr/>
            <w:r>
              <w:rPr/>
              <w:t xml:space="preserve">Kompetence k celoživotnímu vzdělávání</w:t>
            </w:r>
          </w:p>
        </w:tc>
        <w:tc>
          <w:tcPr>
            <w:tcW w:w="2000" w:type="dxa"/>
            <w:noWrap/>
          </w:tcPr>
          <w:p>
            <w:pPr>
              <w:jc w:val="center"/>
            </w:pPr>
            <w:r>
              <w:rPr/>
              <w:t xml:space="preserve">2</w:t>
            </w:r>
          </w:p>
        </w:tc>
      </w:tr>
      <w:tr>
        <w:trPr/>
        <w:tc>
          <w:tcPr>
            <w:tcW w:w="2000" w:type="dxa"/>
            <w:noWrap/>
          </w:tcPr>
          <w:p>
            <w:pPr>
              <w:jc w:val="center"/>
            </w:pPr>
            <w:r>
              <w:rPr/>
              <w:t xml:space="preserve">1.2</w:t>
            </w:r>
          </w:p>
        </w:tc>
        <w:tc>
          <w:tcPr>
            <w:tcW w:w="5000" w:type="dxa"/>
            <w:noWrap/>
          </w:tcPr>
          <w:p>
            <w:pPr/>
            <w:r>
              <w:rPr/>
              <w:t xml:space="preserve">Kompetence k flexibilitě</w:t>
            </w:r>
          </w:p>
        </w:tc>
        <w:tc>
          <w:tcPr>
            <w:tcW w:w="2000" w:type="dxa"/>
            <w:noWrap/>
          </w:tcPr>
          <w:p>
            <w:pPr>
              <w:jc w:val="center"/>
            </w:pPr>
            <w:r>
              <w:rPr/>
              <w:t xml:space="preserve">3</w:t>
            </w:r>
          </w:p>
        </w:tc>
      </w:tr>
      <w:tr>
        <w:trPr/>
        <w:tc>
          <w:tcPr>
            <w:tcW w:w="2000" w:type="dxa"/>
            <w:noWrap/>
          </w:tcPr>
          <w:p>
            <w:pPr>
              <w:jc w:val="center"/>
            </w:pPr>
            <w:r>
              <w:rPr/>
              <w:t xml:space="preserve">1.4</w:t>
            </w:r>
          </w:p>
        </w:tc>
        <w:tc>
          <w:tcPr>
            <w:tcW w:w="5000" w:type="dxa"/>
            <w:noWrap/>
          </w:tcPr>
          <w:p>
            <w:pPr/>
            <w:r>
              <w:rPr/>
              <w:t xml:space="preserve">Kompetence ke zvládání stresu a zátěže</w:t>
            </w:r>
          </w:p>
        </w:tc>
        <w:tc>
          <w:tcPr>
            <w:tcW w:w="2000" w:type="dxa"/>
            <w:noWrap/>
          </w:tcPr>
          <w:p>
            <w:pPr>
              <w:jc w:val="center"/>
            </w:pPr>
            <w:r>
              <w:rPr/>
              <w:t xml:space="preserve">3</w:t>
            </w:r>
          </w:p>
        </w:tc>
      </w:tr>
      <w:tr>
        <w:trPr/>
        <w:tc>
          <w:tcPr>
            <w:tcW w:w="2000" w:type="dxa"/>
            <w:noWrap/>
          </w:tcPr>
          <w:p>
            <w:pPr>
              <w:jc w:val="center"/>
            </w:pPr>
            <w:r>
              <w:rPr/>
              <w:t xml:space="preserve">2.2</w:t>
            </w:r>
          </w:p>
        </w:tc>
        <w:tc>
          <w:tcPr>
            <w:tcW w:w="5000" w:type="dxa"/>
            <w:noWrap/>
          </w:tcPr>
          <w:p>
            <w:pPr/>
            <w:r>
              <w:rPr/>
              <w:t xml:space="preserve">Kompetence ke kooperaci</w:t>
            </w:r>
          </w:p>
        </w:tc>
        <w:tc>
          <w:tcPr>
            <w:tcW w:w="2000" w:type="dxa"/>
            <w:noWrap/>
          </w:tcPr>
          <w:p>
            <w:pPr>
              <w:jc w:val="center"/>
            </w:pPr>
            <w:r>
              <w:rPr/>
              <w:t xml:space="preserve">3</w:t>
            </w:r>
          </w:p>
        </w:tc>
      </w:tr>
      <w:tr>
        <w:trPr/>
        <w:tc>
          <w:tcPr>
            <w:tcW w:w="2000" w:type="dxa"/>
            <w:noWrap/>
          </w:tcPr>
          <w:p>
            <w:pPr>
              <w:jc w:val="center"/>
            </w:pPr>
            <w:r>
              <w:rPr/>
              <w:t xml:space="preserve">3.1</w:t>
            </w:r>
          </w:p>
        </w:tc>
        <w:tc>
          <w:tcPr>
            <w:tcW w:w="5000" w:type="dxa"/>
            <w:noWrap/>
          </w:tcPr>
          <w:p>
            <w:pPr/>
            <w:r>
              <w:rPr/>
              <w:t xml:space="preserve">Kompetence k analytickému myšlení</w:t>
            </w:r>
          </w:p>
        </w:tc>
        <w:tc>
          <w:tcPr>
            <w:tcW w:w="2000" w:type="dxa"/>
            <w:noWrap/>
          </w:tcPr>
          <w:p>
            <w:pPr>
              <w:jc w:val="center"/>
            </w:pPr>
            <w:r>
              <w:rPr/>
              <w:t xml:space="preserve">3</w:t>
            </w:r>
          </w:p>
        </w:tc>
      </w:tr>
      <w:tr>
        <w:trPr/>
        <w:tc>
          <w:tcPr>
            <w:tcW w:w="2000" w:type="dxa"/>
            <w:noWrap/>
          </w:tcPr>
          <w:p>
            <w:pPr>
              <w:jc w:val="center"/>
            </w:pPr>
            <w:r>
              <w:rPr/>
              <w:t xml:space="preserve">3.2</w:t>
            </w:r>
          </w:p>
        </w:tc>
        <w:tc>
          <w:tcPr>
            <w:tcW w:w="5000" w:type="dxa"/>
            <w:noWrap/>
          </w:tcPr>
          <w:p>
            <w:pPr/>
            <w:r>
              <w:rPr/>
              <w:t xml:space="preserve">Kompetence ke koncepčnímu myšlení</w:t>
            </w:r>
          </w:p>
        </w:tc>
        <w:tc>
          <w:tcPr>
            <w:tcW w:w="2000" w:type="dxa"/>
            <w:noWrap/>
          </w:tcPr>
          <w:p>
            <w:pPr>
              <w:jc w:val="center"/>
            </w:pPr>
            <w:r>
              <w:rPr/>
              <w:t xml:space="preserve">3</w:t>
            </w:r>
          </w:p>
        </w:tc>
      </w:tr>
      <w:tr>
        <w:trPr/>
        <w:tc>
          <w:tcPr>
            <w:tcW w:w="2000" w:type="dxa"/>
            <w:noWrap/>
          </w:tcPr>
          <w:p>
            <w:pPr>
              <w:jc w:val="center"/>
            </w:pPr>
            <w:r>
              <w:rPr/>
              <w:t xml:space="preserve">4.1</w:t>
            </w:r>
          </w:p>
        </w:tc>
        <w:tc>
          <w:tcPr>
            <w:tcW w:w="5000" w:type="dxa"/>
            <w:noWrap/>
          </w:tcPr>
          <w:p>
            <w:pPr/>
            <w:r>
              <w:rPr/>
              <w:t xml:space="preserve">Kompetence k aktivnímu přístupu</w:t>
            </w:r>
          </w:p>
        </w:tc>
        <w:tc>
          <w:tcPr>
            <w:tcW w:w="2000" w:type="dxa"/>
            <w:noWrap/>
          </w:tcPr>
          <w:p>
            <w:pPr>
              <w:jc w:val="center"/>
            </w:pPr>
            <w:r>
              <w:rPr/>
              <w:t xml:space="preserve">2</w:t>
            </w:r>
          </w:p>
        </w:tc>
      </w:tr>
      <w:tr>
        <w:trPr/>
        <w:tc>
          <w:tcPr>
            <w:tcW w:w="2000" w:type="dxa"/>
            <w:noWrap/>
          </w:tcPr>
          <w:p>
            <w:pPr>
              <w:jc w:val="center"/>
            </w:pPr>
            <w:r>
              <w:rPr/>
              <w:t xml:space="preserve">4.2</w:t>
            </w:r>
          </w:p>
        </w:tc>
        <w:tc>
          <w:tcPr>
            <w:tcW w:w="5000" w:type="dxa"/>
            <w:noWrap/>
          </w:tcPr>
          <w:p>
            <w:pPr/>
            <w:r>
              <w:rPr/>
              <w:t xml:space="preserve">Kompetence k plánování a organizování práce</w:t>
            </w:r>
          </w:p>
        </w:tc>
        <w:tc>
          <w:tcPr>
            <w:tcW w:w="2000" w:type="dxa"/>
            <w:noWrap/>
          </w:tcPr>
          <w:p>
            <w:pPr>
              <w:jc w:val="center"/>
            </w:pPr>
            <w:r>
              <w:rPr/>
              <w:t xml:space="preserve">3</w:t>
            </w:r>
          </w:p>
        </w:tc>
      </w:tr>
      <w:tr>
        <w:trPr/>
        <w:tc>
          <w:tcPr>
            <w:tcW w:w="2000" w:type="dxa"/>
            <w:noWrap/>
          </w:tcPr>
          <w:p>
            <w:pPr>
              <w:jc w:val="center"/>
            </w:pPr>
            <w:r>
              <w:rPr/>
              <w:t xml:space="preserve">4.5</w:t>
            </w:r>
          </w:p>
        </w:tc>
        <w:tc>
          <w:tcPr>
            <w:tcW w:w="5000" w:type="dxa"/>
            <w:noWrap/>
          </w:tcPr>
          <w:p>
            <w:pPr/>
            <w:r>
              <w:rPr/>
              <w:t xml:space="preserve">Kompetence k samostatnosti</w:t>
            </w:r>
          </w:p>
        </w:tc>
        <w:tc>
          <w:tcPr>
            <w:tcW w:w="2000" w:type="dxa"/>
            <w:noWrap/>
          </w:tcPr>
          <w:p>
            <w:pPr>
              <w:jc w:val="center"/>
            </w:pPr>
            <w:r>
              <w:rPr/>
              <w:t xml:space="preserve">2</w:t>
            </w:r>
          </w:p>
        </w:tc>
      </w:tr>
    </w:tbl>
    <w:p>
      <w:pPr/>
      <w:r>
        <w:rPr>
          <w:sz w:val="16"/>
          <w:szCs w:val="16"/>
          <w:i w:val="1"/>
          <w:iCs w:val="1"/>
        </w:rPr>
        <w:t xml:space="preserve">Popisy úrovní naleznete zde: https://nsp.cz/downloads/Priloha_c9_manualu.pdf</w:t>
      </w:r>
    </w:p>
    <w:p/>
    <w:p>
      <w:pPr>
        <w:pStyle w:val="Heading2"/>
      </w:pPr>
      <w:bookmarkStart w:id="20" w:name="_Toc20"/>
      <w:r>
        <w:t>Zdravotní podmínky</w:t>
      </w:r>
      <w:bookmarkEnd w:id="20"/>
    </w:p>
    <w:p>
      <w:pPr>
        <w:pStyle w:val="Heading3"/>
      </w:pPr>
      <w:bookmarkStart w:id="21" w:name="_Toc21"/>
      <w:r>
        <w:t>Onemocnění omezující výkon povolání / specializace povolání.</w:t>
      </w:r>
      <w:bookmarkEnd w:id="21"/>
    </w:p>
    <w:p>
      <w:pPr>
        <w:numPr>
          <w:ilvl w:val="0"/>
          <w:numId w:val="5"/>
        </w:numPr>
      </w:pPr>
      <w:r>
        <w:rPr/>
        <w:t xml:space="preserve">Prognosticky závažná onemocnění cév a nervů horních končetin</w:t>
      </w:r>
    </w:p>
    <w:p>
      <w:pPr>
        <w:numPr>
          <w:ilvl w:val="0"/>
          <w:numId w:val="5"/>
        </w:numPr>
      </w:pPr>
      <w:r>
        <w:rPr/>
        <w:t xml:space="preserve">Prognosticky závažné onemocnění dýchacích cest a plic</w:t>
      </w:r>
    </w:p>
    <w:p>
      <w:pPr>
        <w:numPr>
          <w:ilvl w:val="0"/>
          <w:numId w:val="5"/>
        </w:numPr>
      </w:pPr>
      <w:r>
        <w:rPr/>
        <w:t xml:space="preserve">Stavy po poškození ionizujícím zářením</w:t>
      </w:r>
    </w:p>
    <w:p>
      <w:pPr>
        <w:numPr>
          <w:ilvl w:val="0"/>
          <w:numId w:val="5"/>
        </w:numPr>
      </w:pPr>
      <w:r>
        <w:rPr/>
        <w:t xml:space="preserve">Osoby s kardiostimulátorem</w:t>
      </w:r>
    </w:p>
    <w:p>
      <w:pPr>
        <w:numPr>
          <w:ilvl w:val="0"/>
          <w:numId w:val="5"/>
        </w:numPr>
      </w:pPr>
      <w:r>
        <w:rPr/>
        <w:t xml:space="preserve">Záchvatovité a kolapsové stavy</w:t>
      </w:r>
    </w:p>
    <w:p>
      <w:pPr>
        <w:numPr>
          <w:ilvl w:val="0"/>
          <w:numId w:val="5"/>
        </w:numPr>
      </w:pPr>
      <w:r>
        <w:rPr/>
        <w:t xml:space="preserve">Onemocnění oběhové soustavy</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Závažná orgánová onemocnění podle toxikologických vlastností látek</w:t>
      </w:r>
    </w:p>
    <w:p>
      <w:pPr>
        <w:numPr>
          <w:ilvl w:val="0"/>
          <w:numId w:val="5"/>
        </w:numPr>
      </w:pPr>
      <w:r>
        <w:rPr/>
        <w:t xml:space="preserve">Alergická onemocnění</w:t>
      </w:r>
    </w:p>
    <w:p>
      <w:pPr>
        <w:numPr>
          <w:ilvl w:val="0"/>
          <w:numId w:val="5"/>
        </w:numPr>
      </w:pPr>
      <w:r>
        <w:rPr/>
        <w:t xml:space="preserve">Chronická onemocnění jater</w:t>
      </w:r>
    </w:p>
    <w:p>
      <w:pPr>
        <w:numPr>
          <w:ilvl w:val="0"/>
          <w:numId w:val="5"/>
        </w:numPr>
      </w:pPr>
      <w:r>
        <w:rPr/>
        <w:t xml:space="preserve">Závažné poruchy krvetvorby a krvácivé stavy</w:t>
      </w:r>
    </w:p>
    <w:p>
      <w:pPr>
        <w:numPr>
          <w:ilvl w:val="0"/>
          <w:numId w:val="5"/>
        </w:numPr>
      </w:pPr>
      <w:r>
        <w:rPr/>
        <w:t xml:space="preserve">Závažná orgánová onemocnění podle druhu neionizujícího záření</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Závažná nervová onemocnění a psychosomatická onemocnění</w:t>
      </w:r>
    </w:p>
    <w:p>
      <w:pPr>
        <w:numPr>
          <w:ilvl w:val="0"/>
          <w:numId w:val="5"/>
        </w:numPr>
      </w:pPr>
      <w:r>
        <w:rPr/>
        <w:t xml:space="preserve">Závažné stavy po úrazech či operacích pohybového systému</w:t>
      </w:r>
    </w:p>
    <w:p>
      <w:pPr>
        <w:pStyle w:val="Heading3"/>
      </w:pPr>
      <w:bookmarkStart w:id="22" w:name="_Toc22"/>
      <w:r>
        <w:t>Onemocnění vylučující výkon povolání / specializace povolání.e</w:t>
      </w:r>
      <w:bookmarkEnd w:id="22"/>
    </w:p>
    <w:p>
      <w:pPr>
        <w:numPr>
          <w:ilvl w:val="0"/>
          <w:numId w:val="5"/>
        </w:numPr>
      </w:pPr>
      <w:r>
        <w:rPr/>
        <w:t xml:space="preserve">Prognosticky závažné imunodeficitní stavy</w:t>
      </w:r>
    </w:p>
    <w:p>
      <w:pPr>
        <w:numPr>
          <w:ilvl w:val="0"/>
          <w:numId w:val="5"/>
        </w:numPr>
      </w:pPr>
      <w:r>
        <w:rPr/>
        <w:t xml:space="preserve">Onemocnění pohybového a nervového systému, omezující jemnou motoriku, koordinaci pohybů a svalovou sílu</w:t>
      </w:r>
    </w:p>
    <w:p>
      <w:pPr/>
      <w:r>
        <w:rPr>
          <w:b w:val="1"/>
          <w:bCs w:val="1"/>
        </w:rPr>
        <w:t xml:space="preserve">Poznámka ke zdravotním podmínkám</w:t>
      </w:r>
    </w:p>
    <w:p>
      <w:pPr/>
      <w:r>
        <w:rPr/>
        <w:t xml:space="preserve">Barevné vidění</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E4364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Tiskař</dc:title>
  <dc:description>Tiskař připravuje a kontroluje tiskovou formu a potiskované materiály, připravuje barvy pro výrobu různých druhů tiskovin a tiskne plakáty, knihy, časopisy, noviny, mapy, fotografie, plány, obaly, kartografická díla a potiskuje fólie, lepenky a další předměty.</dc:description>
  <dc:subject/>
  <cp:keywords/>
  <cp:category>Povolání</cp:category>
  <cp:lastModifiedBy/>
  <dcterms:created xsi:type="dcterms:W3CDTF">2017-11-22T09:15:24+00:00</dcterms:created>
  <dcterms:modified xsi:type="dcterms:W3CDTF">2022-04-01T13:41:32+00:00</dcterms:modified>
</cp:coreProperties>
</file>

<file path=docProps/custom.xml><?xml version="1.0" encoding="utf-8"?>
<Properties xmlns="http://schemas.openxmlformats.org/officeDocument/2006/custom-properties" xmlns:vt="http://schemas.openxmlformats.org/officeDocument/2006/docPropsVTypes"/>
</file>