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Inženýr sítí elektronických komunikací</w:t>
      </w:r>
      <w:bookmarkEnd w:id="0"/>
    </w:p>
    <w:p>
      <w:pPr/>
      <w:r>
        <w:rPr/>
        <w:t xml:space="preserve">Inženýr sítí elektronických komunikací vyvíjí a testuje elektronická zařízení používaná v sítích elektronických komunikací a řeší výzkumné a vývojové úkoly v oblasti sítí elektronických komunikací s vazbami na ostatní vědní a technické obory.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  <w:noWrap/>
          </w:tcPr>
          <w:p>
            <w:pPr/>
            <w:r>
              <w:rPr/>
              <w:t xml:space="preserve">Elektronické komunikace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>
            <w:noWrap/>
          </w:tcPr>
          <w:p>
            <w:pPr/>
            <w:r>
              <w:rPr/>
              <w:t xml:space="preserve">nezařazeno do odborného podsměru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>
            <w:noWrap/>
          </w:tcPr>
          <w:p>
            <w:pPr/>
            <w:r>
              <w:rPr/>
              <w:t xml:space="preserve">Magisterský studijní program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>
            <w:noWrap/>
          </w:tcPr>
          <w:p>
            <w:pPr/>
            <w:r>
              <w:rPr/>
              <w:t xml:space="preserve">Inženýr telekomunikací, Telekomunikační inženýr, Technolog v oblasti telekomunikací, Inženýr ve výzkumu a vývoji v oblasti elektronických komunikací, Electronic communications engineer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>
            <w:noWrap/>
          </w:tcPr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1" w:name="_Toc1"/>
      <w:r>
        <w:t>Pracovní činnosti</w:t>
      </w:r>
      <w:bookmarkEnd w:id="1"/>
    </w:p>
    <w:p>
      <w:pPr>
        <w:numPr>
          <w:ilvl w:val="0"/>
          <w:numId w:val="5"/>
        </w:numPr>
      </w:pPr>
      <w:r>
        <w:rPr/>
        <w:t xml:space="preserve">Tvůrčí řešení nejsložitějších, celospolečensky významných výzkumných úkolů, které mají zásadní význam pro rozvoj sítí elektronických komunikací.</w:t>
      </w:r>
    </w:p>
    <w:p>
      <w:pPr>
        <w:numPr>
          <w:ilvl w:val="0"/>
          <w:numId w:val="5"/>
        </w:numPr>
      </w:pPr>
      <w:r>
        <w:rPr/>
        <w:t xml:space="preserve">Zpracovávání odborných stanovisek, posudků a oponentur k nejsložitějším výzkumným úkolům, které mají zásadní význam pro rozvoj sítí elektronických komunikací.</w:t>
      </w:r>
    </w:p>
    <w:p>
      <w:pPr>
        <w:numPr>
          <w:ilvl w:val="0"/>
          <w:numId w:val="5"/>
        </w:numPr>
      </w:pPr>
      <w:r>
        <w:rPr/>
        <w:t xml:space="preserve">Tvůrčí řešení specifických výzkumných a vývojových úkolů, jejichž výsledkem je uplatnění nových progresivních technologií.</w:t>
      </w:r>
    </w:p>
    <w:p>
      <w:pPr>
        <w:numPr>
          <w:ilvl w:val="0"/>
          <w:numId w:val="5"/>
        </w:numPr>
      </w:pPr>
      <w:r>
        <w:rPr/>
        <w:t xml:space="preserve">Sledování vývoje vědecko-technických poznatků v pověřené oblasti elektronických komunikací.</w:t>
      </w:r>
    </w:p>
    <w:p>
      <w:pPr>
        <w:numPr>
          <w:ilvl w:val="0"/>
          <w:numId w:val="5"/>
        </w:numPr>
      </w:pPr>
      <w:r>
        <w:rPr/>
        <w:t xml:space="preserve">Metodické řízení řešení komplexních výzkumných a vývojových úkolů (projektů) v oblasti elektronických komunikací.</w:t>
      </w:r>
    </w:p>
    <w:p>
      <w:pPr>
        <w:numPr>
          <w:ilvl w:val="0"/>
          <w:numId w:val="5"/>
        </w:numPr>
      </w:pPr>
      <w:r>
        <w:rPr/>
        <w:t xml:space="preserve">Řízení kolektivu výzkumných a technických pracovníků, metodické vedení a koordinace dílčích výzkumných činností.</w:t>
      </w:r>
    </w:p>
    <w:p>
      <w:pPr>
        <w:numPr>
          <w:ilvl w:val="0"/>
          <w:numId w:val="5"/>
        </w:numPr>
      </w:pPr>
      <w:r>
        <w:rPr/>
        <w:t xml:space="preserve">Koordinace činnosti pracovních týmů v realizační fázi výzkumných úkolů a při aplikaci výsledků výzkumu a nejnovějších vědeckotechnických poznatků z oblasti elektrotechniky do provozní praxe.</w:t>
      </w:r>
    </w:p>
    <w:p>
      <w:pPr>
        <w:numPr>
          <w:ilvl w:val="0"/>
          <w:numId w:val="5"/>
        </w:numPr>
      </w:pPr>
      <w:r>
        <w:rPr/>
        <w:t xml:space="preserve">Publikační a pedagogická činnost v odvětví elektrotechniky, zapojení do mezinárodní vědeckotechnické spolupráce.</w:t>
      </w:r>
    </w:p>
    <w:p>
      <w:pPr>
        <w:numPr>
          <w:ilvl w:val="0"/>
          <w:numId w:val="5"/>
        </w:numPr>
      </w:pPr>
      <w:r>
        <w:rPr/>
        <w:t xml:space="preserve">Zajišťování inženýrské činnosti při přípravě a projektování staveb elektronických komunikací.</w:t>
      </w:r>
    </w:p>
    <w:p>
      <w:pPr>
        <w:numPr>
          <w:ilvl w:val="0"/>
          <w:numId w:val="5"/>
        </w:numPr>
      </w:pPr>
      <w:r>
        <w:rPr/>
        <w:t xml:space="preserve">Tvorba podkladů pro právní ochranu duševního a průmyslového vlastnictví.</w:t>
      </w:r>
    </w:p>
    <w:p>
      <w:pPr>
        <w:numPr>
          <w:ilvl w:val="0"/>
          <w:numId w:val="5"/>
        </w:numPr>
      </w:pPr>
      <w:r>
        <w:rPr/>
        <w:t xml:space="preserve">Vedení příslušné dokumentace.</w:t>
      </w:r>
    </w:p>
    <w:p>
      <w:pPr>
        <w:numPr>
          <w:ilvl w:val="0"/>
          <w:numId w:val="5"/>
        </w:numPr>
      </w:pPr>
      <w:r>
        <w:rPr/>
        <w:t xml:space="preserve">Poskytování poradenství a konzultací v oblasti sítí elektronických komunikací.</w:t>
      </w:r>
    </w:p>
    <w:p/>
    <w:p>
      <w:pPr>
        <w:pStyle w:val="Heading2"/>
      </w:pPr>
      <w:bookmarkStart w:id="2" w:name="_Toc2"/>
      <w:r>
        <w:t>CZ-ISCO</w:t>
      </w:r>
      <w:bookmarkEnd w:id="2"/>
    </w:p>
    <w:p>
      <w:pPr>
        <w:numPr>
          <w:ilvl w:val="0"/>
          <w:numId w:val="5"/>
        </w:numPr>
      </w:pPr>
      <w:r>
        <w:rPr/>
        <w:t xml:space="preserve">Inženýři ve výzkumu a vývoji v oblasti elektronických komunikací</w:t>
      </w:r>
    </w:p>
    <w:p>
      <w:pPr>
        <w:numPr>
          <w:ilvl w:val="0"/>
          <w:numId w:val="5"/>
        </w:numPr>
      </w:pPr>
      <w:r>
        <w:rPr/>
        <w:t xml:space="preserve">Inženýři v oblasti elektronických komunikací (včetně radiokomunikací)</w:t>
      </w:r>
    </w:p>
    <w:p/>
    <w:p>
      <w:pPr>
        <w:pStyle w:val="Heading3"/>
      </w:pPr>
      <w:bookmarkStart w:id="3" w:name="_Toc3"/>
      <w:r>
        <w:t>Hrubé měsíční mzdy podle krajů v roce 2025</w:t>
      </w:r>
      <w:bookmarkEnd w:id="3"/>
    </w:p>
    <w:p>
      <w:pPr>
        <w:pStyle w:val="Heading4"/>
      </w:pPr>
      <w:bookmarkStart w:id="4" w:name="_Toc4"/>
      <w:r>
        <w:t>Inženýři v oblasti elektronických komunikací (včetně radiokomunikací) (CZ-ISCO 2153)</w:t>
      </w:r>
      <w:bookmarkEnd w:id="4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  <w:noWrap/>
          </w:tcPr>
          <w:p/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  <w:noWrap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49 379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88 448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134 648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57 017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85 413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108 366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Plzeňský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49 912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100 098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127 347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51 975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62 070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103 064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Pardubický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46 692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65 242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96 330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50 736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67 994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102 035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</w:tbl>
    <w:p/>
    <w:p>
      <w:pPr>
        <w:pStyle w:val="Heading3"/>
      </w:pPr>
      <w:bookmarkStart w:id="5" w:name="_Toc5"/>
      <w:r>
        <w:t>Hrubé měsíční mzdy v roce 2025 celkem</w:t>
      </w:r>
      <w:bookmarkEnd w:id="5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  <w:noWrap/>
          </w:tcPr>
          <w:p/>
        </w:tc>
        <w:tc>
          <w:tcPr>
            <w:tcW w:w="6000" w:type="dxa"/>
            <w:gridSpan w:val="2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  <w:noWrap/>
          </w:tcPr>
          <w:p/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2153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Inženýři v oblasti elektronických komunikací (včetně radiokomunikací)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51 309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80 167 Kč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21531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Inženýři ve výzkumu a vývoji v oblasti elektronických komunikací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112 475 Kč</w:t>
            </w:r>
          </w:p>
        </w:tc>
      </w:tr>
    </w:tbl>
    <w:p/>
    <w:p>
      <w:pPr>
        <w:pStyle w:val="Heading2"/>
      </w:pPr>
      <w:bookmarkStart w:id="6" w:name="_Toc6"/>
      <w:r>
        <w:t>ESCO</w:t>
      </w:r>
      <w:bookmarkEnd w:id="6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2153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Inženýři v oblasti elektronických komunikací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http://data.europa.eu/esco/isco/C2153</w:t>
            </w:r>
          </w:p>
        </w:tc>
      </w:tr>
    </w:tbl>
    <w:p/>
    <w:p/>
    <w:p/>
    <w:p>
      <w:pPr>
        <w:pStyle w:val="Heading2"/>
      </w:pPr>
      <w:bookmarkStart w:id="7" w:name="_Toc7"/>
      <w:r>
        <w:t>Příklady činností</w:t>
      </w:r>
      <w:bookmarkEnd w:id="7"/>
    </w:p>
    <w:tbl>
      <w:tblGrid>
        <w:gridCol w:w="7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7000" w:type="dxa"/>
            <w:noWrap/>
          </w:tcPr>
          <w:p>
            <w:pPr/>
            <w:r>
              <w:rPr>
                <w:b w:val="1"/>
                <w:bCs w:val="1"/>
              </w:rPr>
              <w:t xml:space="preserve">Příklady činností ze veřejného sektoru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třída</w:t>
            </w:r>
          </w:p>
        </w:tc>
      </w:tr>
      <w:tr>
        <w:trPr/>
        <w:tc>
          <w:tcPr>
            <w:tcW w:w="7000" w:type="dxa"/>
            <w:noWrap/>
          </w:tcPr>
          <w:p>
            <w:pPr/>
            <w:r>
              <w:rPr/>
              <w:t xml:space="preserve">Řešení úkolů základního výzkumu a vývoje s rozhodujícím významem pro rozvoj příslušného vědního oboru, tvůrčí koordinace projektů s celostátním nebo mezinárodním významem včetně vedení výzkumného týmu.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16</w:t>
            </w:r>
          </w:p>
        </w:tc>
      </w:tr>
      <w:tr>
        <w:trPr/>
        <w:tc>
          <w:tcPr>
            <w:tcW w:w="7000" w:type="dxa"/>
            <w:noWrap/>
          </w:tcPr>
          <w:p>
            <w:pPr/>
            <w:r>
              <w:rPr/>
              <w:t xml:space="preserve">Řešení principiálně nových vědeckovýzkumných okruhů s rámcově velmi neurčitě vymezenými vstupy a nespecifikovatelnými výstupy zpravidla významově přesahující velmi dlouhé časové horizonty (generace) s dopady na široké spektrum dalších činnosti, vyžadující velmi vysoký stupeň zobecnění jevů.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16</w:t>
            </w:r>
          </w:p>
        </w:tc>
      </w:tr>
      <w:tr>
        <w:trPr/>
        <w:tc>
          <w:tcPr>
            <w:tcW w:w="7000" w:type="dxa"/>
            <w:noWrap/>
          </w:tcPr>
          <w:p>
            <w:pPr/>
            <w:r>
              <w:rPr/>
              <w:t xml:space="preserve">Tvůrčí řešení nejnáročnějších výzkumných a vývojových úkolů nebo provádění velmi náročných a obtížných výzkumných a vývojových prací při tvůrčím řešení úkolů celostátního významu pro rozvoj odvětví nebo vědního oboru a případně vedení výzkumného týmu.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15</w:t>
            </w:r>
          </w:p>
        </w:tc>
      </w:tr>
      <w:tr>
        <w:trPr/>
        <w:tc>
          <w:tcPr>
            <w:tcW w:w="7000" w:type="dxa"/>
            <w:noWrap/>
          </w:tcPr>
          <w:p>
            <w:pPr/>
            <w:r>
              <w:rPr/>
              <w:t xml:space="preserve">Řešení komplexu úkolů s neurčitě zadanými vstupy a neurčitě vymezenými výstupy zpravidla s dlouhodobým časovým horizontem řešení a rozsáhlými a složitými vazbami na ostatní vědní obory, vyžadující vysoký stupeň zobecnění jevů.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15</w:t>
            </w:r>
          </w:p>
        </w:tc>
      </w:tr>
      <w:tr>
        <w:trPr/>
        <w:tc>
          <w:tcPr>
            <w:tcW w:w="7000" w:type="dxa"/>
            <w:noWrap/>
          </w:tcPr>
          <w:p>
            <w:pPr/>
            <w:r>
              <w:rPr/>
              <w:t xml:space="preserve">Samostatné řešení závažných a složitých výzkumných a vývojových úkolů nebo samostatné provádění náročných a obtížných výzkumných a vývojových prací při řešení a realizaci úkolů rozvoje vědy a techniky řešených výzkumným týmem.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14</w:t>
            </w:r>
          </w:p>
        </w:tc>
      </w:tr>
      <w:tr>
        <w:trPr/>
        <w:tc>
          <w:tcPr>
            <w:tcW w:w="7000" w:type="dxa"/>
            <w:noWrap/>
          </w:tcPr>
          <w:p>
            <w:pPr/>
            <w:r>
              <w:rPr/>
              <w:t xml:space="preserve">Komplexní řešení výzkumných a vývojových úkolů s definovanými vstupy a rámcově určenými výstupy ve stanoveném čase a s vazbami na příbuzné vědní obory.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14</w:t>
            </w:r>
          </w:p>
        </w:tc>
      </w:tr>
    </w:tbl>
    <w:p/>
    <w:p>
      <w:pPr>
        <w:pStyle w:val="Heading2"/>
      </w:pPr>
      <w:bookmarkStart w:id="8" w:name="_Toc8"/>
      <w:r>
        <w:t>Pracovní podmínky</w:t>
      </w:r>
      <w:bookmarkEnd w:id="8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9" w:name="_Toc9"/>
      <w:r>
        <w:t>Kvalifikace k výkonu povolání</w:t>
      </w:r>
      <w:bookmarkEnd w:id="9"/>
    </w:p>
    <w:p>
      <w:pPr>
        <w:pStyle w:val="Heading3"/>
      </w:pPr>
      <w:bookmarkStart w:id="10" w:name="_Toc10"/>
      <w:r>
        <w:t>Školní vzdělání</w:t>
      </w:r>
      <w:bookmarkEnd w:id="10"/>
    </w:p>
    <w:p/>
    <w:p>
      <w:pPr>
        <w:pStyle w:val="Heading4"/>
      </w:pPr>
      <w:bookmarkStart w:id="11" w:name="_Toc11"/>
      <w:r>
        <w:t>Nejvhodnější školní přípravu poskytují obory:</w:t>
      </w:r>
      <w:bookmarkEnd w:id="1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AKVO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Elektronika a rádiová komunikace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2612T017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Magisterský studijní program v oboru elektrotechnika a informatika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2612T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Magisterský studijní program v oboru slaboproudá elektrotechnika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2601T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AKVO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Bezdrátové komunikace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2601T017</w:t>
            </w:r>
          </w:p>
        </w:tc>
      </w:tr>
    </w:tbl>
    <w:p/>
    <w:p>
      <w:pPr>
        <w:pStyle w:val="Heading4"/>
      </w:pPr>
      <w:bookmarkStart w:id="12" w:name="_Toc12"/>
      <w:r>
        <w:t>Vhodnou školní přípravu poskytují také obory:</w:t>
      </w:r>
      <w:bookmarkEnd w:id="12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Magisterský studijní program v oboru elektrotechnická specializace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2609T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Magisterský studijní program ve skupině oborů elektrotechnika, telekomunikační a výpočetní technika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26xxT</w:t>
            </w:r>
          </w:p>
        </w:tc>
      </w:tr>
    </w:tbl>
    <w:p>
      <w:pPr>
        <w:pStyle w:val="Heading3"/>
      </w:pPr>
      <w:bookmarkStart w:id="13" w:name="_Toc13"/>
      <w:r>
        <w:t>Legislativní požadavky</w:t>
      </w:r>
      <w:bookmarkEnd w:id="13"/>
    </w:p>
    <w:p>
      <w:pPr>
        <w:numPr>
          <w:ilvl w:val="0"/>
          <w:numId w:val="5"/>
        </w:numPr>
      </w:pPr>
      <w:r>
        <w:rPr/>
        <w:t xml:space="preserve">doporučené - Odborná způsobilost podle zákona č. 250/2021 Sb., o bezpečnosti práce v souvislosti s provozem vyhrazených technických zařízení a nařízení vlády č. 194/2022 Sb., o požadavcích na odbornou způsobilost k výkonu činnosti na elektrických zařízeních a na odbornou způsobilost v elektrotechnice</w:t>
      </w:r>
    </w:p>
    <w:p/>
    <w:p/>
    <w:p>
      <w:pPr>
        <w:pStyle w:val="Heading2"/>
      </w:pPr>
      <w:bookmarkStart w:id="14" w:name="_Toc14"/>
      <w:r>
        <w:t>Kompetenční požadavky</w:t>
      </w:r>
      <w:bookmarkEnd w:id="14"/>
    </w:p>
    <w:p>
      <w:pPr>
        <w:pStyle w:val="Heading3"/>
      </w:pPr>
      <w:bookmarkStart w:id="15" w:name="_Toc15"/>
      <w:r>
        <w:t>Odborné dovednosti</w:t>
      </w:r>
      <w:bookmarkEnd w:id="15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e81.D.2424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Stanovování zásadních orientací rozvoje služeb sítí elektronických komunikací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e81.D.2715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Řešení výzkumných a vývojových úkolů v oblasti sítí elektronických komunikací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e81.D.2713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Plánování a řešení perspektivních úkolů v oblasti sítí elektronických komunikací (energetických bilancí, kmitočtového plánování apod.)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e81.D.3713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Zpracování odborných stanovisek, posudků a oponentur k výzkumným úkolům v oblasti elektronických komunikací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e81.Z.2713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Metodické vedení a koordinace výzkumných činností v oblasti sítí elektronických komunikací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e81.Z.1002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Řízení kolektivu výzkumných pracovníků v oblasti elektronických komunikací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e81.D.2436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Stanovování koncepcí, metodik a systémů prací souvisejících s provozem, údržbou a opravami systémů a zařízení v sítích elektronických komunikací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e81.D.1082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Navrhování zařízení a vedení pro elektronickou komunikaci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e81.D.1158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Vývoj satelitních komunikačních a navigačních systémů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e81.D.1159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Vývoj mobilních komunikačních systémů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e81.D.7421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Řešení úkolů souvisejících se zaváděním nových služeb v sítích elektronických komunikací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e81.D.5250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Provádění technických výpočtů souvisejících s projekty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e81.D.2423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Řešení obnovy a rozvoje radiokomunikačních sítí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e81.D.2651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Zpracování koncepcí, metodik a prognóz rozvoje v sítích elektronických komunikací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6" w:name="_Toc16"/>
      <w:r>
        <w:t>Odborné znalosti</w:t>
      </w:r>
      <w:bookmarkEnd w:id="16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e81._.0046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technická a technologická dokumentace v elektrotechnice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e81._.0042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zařízení a systémy elektronických komunikací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e81._.0021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elektronika obecně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e81._.0001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elektrotechnika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e81._.0045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předpisy a technické normy v elektrotechnice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j22._.0023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práce se softwarem pro odborné aplikace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e81._.0002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elektrotechnické materiály, vodiče, kabely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e81._.0043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nadzemní, podzemní a vnitřní vedení sítí elektronických komunikací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e81._.0091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systémy a standardy jakosti a kvality v elektrotechnice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e81._.0003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technické kreslení v elektrotechnice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e81._.0048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projektování sítí elektronických komunikací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7" w:name="_Toc17"/>
      <w:r>
        <w:t>Digitální kompetence</w:t>
      </w:r>
      <w:bookmarkEnd w:id="17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8" w:name="_Toc18"/>
      <w:r>
        <w:t>Měkké kompetence</w:t>
      </w:r>
      <w:bookmarkEnd w:id="18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plánování a organizování práce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2.6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vedení lidí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19" w:name="_Toc19"/>
      <w:r>
        <w:t>Zdravotní podmínky</w:t>
      </w:r>
      <w:bookmarkEnd w:id="19"/>
    </w:p>
    <w:p>
      <w:pPr>
        <w:pStyle w:val="Heading3"/>
      </w:pPr>
      <w:bookmarkStart w:id="20" w:name="_Toc20"/>
      <w:r>
        <w:t>Onemocnění omezující výkon povolání / specializace povolání.</w:t>
      </w:r>
      <w:bookmarkEnd w:id="20"/>
    </w:p>
    <w:p>
      <w:pPr>
        <w:numPr>
          <w:ilvl w:val="0"/>
          <w:numId w:val="5"/>
        </w:numPr>
      </w:pPr>
      <w:r>
        <w:rPr/>
        <w:t xml:space="preserve">Prognosticky závažné onemocnění dýchacích cest a plic</w:t>
      </w:r>
    </w:p>
    <w:p>
      <w:pPr>
        <w:numPr>
          <w:ilvl w:val="0"/>
          <w:numId w:val="5"/>
        </w:numPr>
      </w:pPr>
      <w:r>
        <w:rPr/>
        <w:t xml:space="preserve">Prognosticky závažné imunodeficitní stavy</w:t>
      </w:r>
    </w:p>
    <w:p>
      <w:pPr>
        <w:numPr>
          <w:ilvl w:val="0"/>
          <w:numId w:val="5"/>
        </w:numPr>
      </w:pPr>
      <w:r>
        <w:rPr/>
        <w:t xml:space="preserve">Osoby s kardiostimulátorem</w:t>
      </w:r>
    </w:p>
    <w:p>
      <w:pPr>
        <w:numPr>
          <w:ilvl w:val="0"/>
          <w:numId w:val="5"/>
        </w:numPr>
      </w:pPr>
      <w:r>
        <w:rPr/>
        <w:t xml:space="preserve">Záchvatovité a kolapsové stavy</w:t>
      </w:r>
    </w:p>
    <w:p>
      <w:pPr>
        <w:numPr>
          <w:ilvl w:val="0"/>
          <w:numId w:val="5"/>
        </w:numPr>
      </w:pPr>
      <w:r>
        <w:rPr/>
        <w:t xml:space="preserve">Onemocnění oběhové soustavy</w:t>
      </w:r>
    </w:p>
    <w:p>
      <w:pPr>
        <w:numPr>
          <w:ilvl w:val="0"/>
          <w:numId w:val="5"/>
        </w:numPr>
      </w:pPr>
      <w:r>
        <w:rPr/>
        <w:t xml:space="preserve">Závažná onemocnění dýchacích cest a plic</w:t>
      </w:r>
    </w:p>
    <w:p>
      <w:pPr>
        <w:numPr>
          <w:ilvl w:val="0"/>
          <w:numId w:val="5"/>
        </w:numPr>
      </w:pPr>
      <w:r>
        <w:rPr/>
        <w:t xml:space="preserve">Závažná onemocnění ledvin, močových cest</w:t>
      </w:r>
    </w:p>
    <w:p>
      <w:pPr>
        <w:numPr>
          <w:ilvl w:val="0"/>
          <w:numId w:val="5"/>
        </w:numPr>
      </w:pPr>
      <w:r>
        <w:rPr/>
        <w:t xml:space="preserve">Závažná degenerativní a zánětlivá onemocnění pohybového systému</w:t>
      </w:r>
    </w:p>
    <w:p>
      <w:pPr>
        <w:numPr>
          <w:ilvl w:val="0"/>
          <w:numId w:val="5"/>
        </w:numPr>
      </w:pPr>
      <w:r>
        <w:rPr/>
        <w:t xml:space="preserve">Prognosticky závažná endokrinní onemocnění včetně diabetes mellitus</w:t>
      </w:r>
    </w:p>
    <w:p>
      <w:pPr>
        <w:numPr>
          <w:ilvl w:val="0"/>
          <w:numId w:val="5"/>
        </w:numPr>
      </w:pPr>
      <w:r>
        <w:rPr/>
        <w:t xml:space="preserve">Závažná chronická onemocnění kůže a spojivek</w:t>
      </w:r>
    </w:p>
    <w:p>
      <w:pPr>
        <w:numPr>
          <w:ilvl w:val="0"/>
          <w:numId w:val="5"/>
        </w:numPr>
      </w:pPr>
      <w:r>
        <w:rPr/>
        <w:t xml:space="preserve">Chronická onemocnění jater</w:t>
      </w:r>
    </w:p>
    <w:p>
      <w:pPr>
        <w:numPr>
          <w:ilvl w:val="0"/>
          <w:numId w:val="5"/>
        </w:numPr>
      </w:pPr>
      <w:r>
        <w:rPr/>
        <w:t xml:space="preserve">Závažné poruchy krvetvorby a krvácivé stavy</w:t>
      </w:r>
    </w:p>
    <w:p>
      <w:pPr>
        <w:numPr>
          <w:ilvl w:val="0"/>
          <w:numId w:val="5"/>
        </w:numPr>
      </w:pPr>
      <w:r>
        <w:rPr/>
        <w:t xml:space="preserve">Onemocnění pohybového a nervového systému, omezující jemnou motoriku, koordinaci pohybů a svalovou sílu</w:t>
      </w:r>
    </w:p>
    <w:p>
      <w:pPr>
        <w:numPr>
          <w:ilvl w:val="0"/>
          <w:numId w:val="5"/>
        </w:numPr>
      </w:pPr>
      <w:r>
        <w:rPr/>
        <w:t xml:space="preserve">Závrať jakékoliv etiologie</w:t>
      </w:r>
    </w:p>
    <w:p>
      <w:pPr>
        <w:numPr>
          <w:ilvl w:val="0"/>
          <w:numId w:val="5"/>
        </w:numPr>
      </w:pPr>
      <w:r>
        <w:rPr/>
        <w:t xml:space="preserve">Drogová závislost v anamnéze</w:t>
      </w:r>
    </w:p>
    <w:p>
      <w:pPr>
        <w:numPr>
          <w:ilvl w:val="0"/>
          <w:numId w:val="5"/>
        </w:numPr>
      </w:pPr>
      <w:r>
        <w:rPr/>
        <w:t xml:space="preserve">Závažná nervová onemocnění a psychosomatická onemocnění</w:t>
      </w:r>
    </w:p>
    <w:p>
      <w:pPr>
        <w:numPr>
          <w:ilvl w:val="0"/>
          <w:numId w:val="5"/>
        </w:numPr>
      </w:pPr>
      <w:r>
        <w:rPr/>
        <w:t xml:space="preserve">Závažné stavy po úrazech či operacích pohybového systému</w:t>
      </w:r>
    </w:p>
    <w:p>
      <w:pPr>
        <w:pStyle w:val="Heading3"/>
      </w:pPr>
      <w:bookmarkStart w:id="21" w:name="_Toc21"/>
      <w:r>
        <w:t>Onemocnění vylučující výkon povolání / specializace povolání.e</w:t>
      </w:r>
      <w:bookmarkEnd w:id="21"/>
    </w:p>
    <w:p>
      <w:pPr>
        <w:numPr>
          <w:ilvl w:val="0"/>
          <w:numId w:val="5"/>
        </w:numPr>
      </w:pPr>
      <w:r>
        <w:rPr/>
        <w:t xml:space="preserve">Duševní poruchy a poruchy chování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1AE915B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Inženýr sítí elektronických komunikací</dc:title>
  <dc:description>Inženýr sítí elektronických komunikací vyvíjí a testuje elektronická zařízení používaná v sítích elektronických komunikací a řeší výzkumné a vývojové úkoly v oblasti sítí elektronických komunikací s vazbami na ostatní vědní a technické obory.</dc:description>
  <dc:subject/>
  <cp:keywords/>
  <cp:category>Povolání</cp:category>
  <cp:lastModifiedBy/>
  <dcterms:created xsi:type="dcterms:W3CDTF">2017-11-22T09:08:28+00:00</dcterms:created>
  <dcterms:modified xsi:type="dcterms:W3CDTF">2021-04-16T14:23:09+00:00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