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Chovatel a ošetřovatel prasat</w:t>
      </w:r>
      <w:bookmarkEnd w:id="1"/>
    </w:p>
    <w:p>
      <w:pPr/>
      <w:r>
        <w:rPr/>
        <w:t xml:space="preserve">Chovatel a ošetřovatel prasat se stará o jednotlivé kategorie prasat a zajišťuje podmínky pro jejich odpovídající chov.</w:t>
      </w:r>
    </w:p>
    <w:p/>
    <w:tbl>
      <w:tblGrid>
        <w:gridCol w:w="3000" w:type="dxa"/>
        <w:gridCol w:w="6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</w:tcPr>
          <w:p>
            <w:pPr/>
            <w:r>
              <w:rPr>
                <w:b w:val="1"/>
                <w:bCs w:val="1"/>
              </w:rPr>
              <w:t xml:space="preserve">Odborný směr:</w:t>
            </w:r>
          </w:p>
        </w:tc>
        <w:tc>
          <w:tcPr>
            <w:tcW w:w="6000" w:type="dxa"/>
          </w:tcPr>
          <w:p>
            <w:pPr/>
            <w:r>
              <w:rPr/>
              <w:t xml:space="preserve">Zemědělství a veterinární péče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Odborný podsměr:</w:t>
            </w:r>
          </w:p>
        </w:tc>
        <w:tc>
          <w:tcPr/>
          <w:p>
            <w:pPr/>
            <w:r>
              <w:rPr/>
              <w:t xml:space="preserve">živočišná výroba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Kvalifikační úroveň:</w:t>
            </w:r>
          </w:p>
        </w:tc>
        <w:tc>
          <w:tcPr/>
          <w:p>
            <w:pPr/>
            <w:r>
              <w:rPr/>
              <w:t xml:space="preserve">Střední vzdělání s výučním listem tříleté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Alternativní názvy:</w:t>
            </w:r>
          </w:p>
        </w:tc>
        <w:tc>
          <w:tcPr/>
          <w:p>
            <w:pPr/>
            <w:r>
              <w:rPr/>
              <w:t xml:space="preserve">Stock breeder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Nadřízené povolání:</w:t>
            </w:r>
          </w:p>
        </w:tc>
        <w:tc>
          <w:tcPr/>
          <w:p>
            <w:pPr/>
            <w:r>
              <w:rPr/>
              <w:t xml:space="preserve">Chovatel a ošetřovatel hospodářských zvířat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Příbuzné specializace:</w:t>
            </w:r>
          </w:p>
        </w:tc>
        <w:tc>
          <w:tcPr/>
          <w:p>
            <w:pPr/>
            <w:r>
              <w:rPr/>
              <w:t xml:space="preserve">Chovatel a ošetřovatel prasat, Chovatel a ošetřovatel ovcí a koz, Chovatel a ošetřovatel kožešinových zvířat, Chovatel a ošetřovatel drůbeže a běžců, Chovatel a ošetřovatel skotu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Regulovaná jednotka práce:</w:t>
            </w:r>
          </w:p>
        </w:tc>
        <w:tc>
          <w:tcPr/>
          <w:p>
            <w:pPr/>
            <w:r>
              <w:rPr/>
              <w:t xml:space="preserve">ne</w:t>
            </w:r>
          </w:p>
        </w:tc>
      </w:tr>
    </w:tbl>
    <w:p/>
    <w:p>
      <w:pPr>
        <w:pStyle w:val="Heading2"/>
      </w:pPr>
      <w:bookmarkStart w:id="2" w:name="_Toc2"/>
      <w:r>
        <w:t>Pracovní činnosti</w:t>
      </w:r>
      <w:bookmarkEnd w:id="2"/>
    </w:p>
    <w:p>
      <w:pPr>
        <w:numPr>
          <w:ilvl w:val="0"/>
          <w:numId w:val="5"/>
        </w:numPr>
      </w:pPr>
      <w:r>
        <w:rPr/>
        <w:t xml:space="preserve">Krmení jednotlivých kategorií prasat.</w:t>
      </w:r>
    </w:p>
    <w:p>
      <w:pPr>
        <w:numPr>
          <w:ilvl w:val="0"/>
          <w:numId w:val="5"/>
        </w:numPr>
      </w:pPr>
      <w:r>
        <w:rPr/>
        <w:t xml:space="preserve">Napájení jednotlivých kategorií prasat.</w:t>
      </w:r>
    </w:p>
    <w:p>
      <w:pPr>
        <w:numPr>
          <w:ilvl w:val="0"/>
          <w:numId w:val="5"/>
        </w:numPr>
      </w:pPr>
      <w:r>
        <w:rPr/>
        <w:t xml:space="preserve">Zabezpečit hygienu chovu prasat, ustájení čištění, dezinfekci, dezinsekci a deratizaci stájí, jiných prostorů a zařízení, v nichž jsou chována.</w:t>
      </w:r>
    </w:p>
    <w:p>
      <w:pPr>
        <w:numPr>
          <w:ilvl w:val="0"/>
          <w:numId w:val="5"/>
        </w:numPr>
      </w:pPr>
      <w:r>
        <w:rPr/>
        <w:t xml:space="preserve">Uplatňování požadavků na welfare chovu jednotlivých kategorií.</w:t>
      </w:r>
    </w:p>
    <w:p>
      <w:pPr>
        <w:numPr>
          <w:ilvl w:val="0"/>
          <w:numId w:val="5"/>
        </w:numPr>
      </w:pPr>
      <w:r>
        <w:rPr/>
        <w:t xml:space="preserve">Obsluha běžných technologií používaných v chovech prasat rozlišených dle chované kategorie prasat (jalové, březí, kojící prasnice, odchov selat, výkrm prasat, inseminačních stanic kanců).</w:t>
      </w:r>
    </w:p>
    <w:p>
      <w:pPr>
        <w:numPr>
          <w:ilvl w:val="0"/>
          <w:numId w:val="5"/>
        </w:numPr>
      </w:pPr>
      <w:r>
        <w:rPr/>
        <w:t xml:space="preserve">Zajištění a vedení reprodukce.</w:t>
      </w:r>
    </w:p>
    <w:p>
      <w:pPr>
        <w:numPr>
          <w:ilvl w:val="0"/>
          <w:numId w:val="5"/>
        </w:numPr>
      </w:pPr>
      <w:r>
        <w:rPr/>
        <w:t xml:space="preserve">Kontrola zdravotního stavu.</w:t>
      </w:r>
    </w:p>
    <w:p>
      <w:pPr>
        <w:numPr>
          <w:ilvl w:val="0"/>
          <w:numId w:val="5"/>
        </w:numPr>
      </w:pPr>
      <w:r>
        <w:rPr/>
        <w:t xml:space="preserve">Označování prasat.</w:t>
      </w:r>
    </w:p>
    <w:p>
      <w:pPr>
        <w:numPr>
          <w:ilvl w:val="0"/>
          <w:numId w:val="5"/>
        </w:numPr>
      </w:pPr>
      <w:r>
        <w:rPr/>
        <w:t xml:space="preserve">Přesuny jednotlivých kategorií prasat.</w:t>
      </w:r>
    </w:p>
    <w:p>
      <w:pPr>
        <w:numPr>
          <w:ilvl w:val="0"/>
          <w:numId w:val="5"/>
        </w:numPr>
      </w:pPr>
      <w:r>
        <w:rPr/>
        <w:t xml:space="preserve">Vyskladňování prasat.</w:t>
      </w:r>
    </w:p>
    <w:p>
      <w:pPr>
        <w:numPr>
          <w:ilvl w:val="0"/>
          <w:numId w:val="5"/>
        </w:numPr>
      </w:pPr>
      <w:r>
        <w:rPr/>
        <w:t xml:space="preserve">Vedení základní evidence.</w:t>
      </w:r>
    </w:p>
    <w:p/>
    <w:p>
      <w:pPr>
        <w:pStyle w:val="Heading2"/>
      </w:pPr>
      <w:bookmarkStart w:id="3" w:name="_Toc3"/>
      <w:r>
        <w:t>CZ-ISCO</w:t>
      </w:r>
      <w:bookmarkEnd w:id="3"/>
    </w:p>
    <w:p>
      <w:pPr>
        <w:numPr>
          <w:ilvl w:val="0"/>
          <w:numId w:val="5"/>
        </w:numPr>
      </w:pPr>
      <w:r>
        <w:rPr/>
        <w:t xml:space="preserve">Chovatelé a ošetřovatelé prasat</w:t>
      </w:r>
    </w:p>
    <w:p>
      <w:pPr>
        <w:numPr>
          <w:ilvl w:val="0"/>
          <w:numId w:val="5"/>
        </w:numPr>
      </w:pPr>
      <w:r>
        <w:rPr/>
        <w:t xml:space="preserve">Chovatelé hospodářských zvířat (kromě drůbeže)</w:t>
      </w:r>
    </w:p>
    <w:p/>
    <w:p>
      <w:pPr>
        <w:pStyle w:val="Heading3"/>
      </w:pPr>
      <w:bookmarkStart w:id="4" w:name="_Toc4"/>
      <w:r>
        <w:t>Hrubé měsíční mzdy podle krajů v roce 2023</w:t>
      </w:r>
      <w:bookmarkEnd w:id="4"/>
    </w:p>
    <w:p>
      <w:pPr>
        <w:pStyle w:val="Heading4"/>
      </w:pPr>
      <w:bookmarkStart w:id="5" w:name="_Toc5"/>
      <w:r>
        <w:t>Chovatelé hospodářských zvířat (kromě drůbeže) (CZ-ISCO 6121)</w:t>
      </w:r>
      <w:bookmarkEnd w:id="5"/>
    </w:p>
    <w:tbl>
      <w:tblGrid>
        <w:gridCol w:w="2400" w:type="dxa"/>
        <w:gridCol w:w="1100" w:type="dxa"/>
        <w:gridCol w:w="1100" w:type="dxa"/>
        <w:gridCol w:w="1100" w:type="dxa"/>
        <w:gridCol w:w="1100" w:type="dxa"/>
        <w:gridCol w:w="1100" w:type="dxa"/>
        <w:gridCol w:w="11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400" w:type="dxa"/>
          </w:tcPr>
          <w:p/>
        </w:tc>
        <w:tc>
          <w:tcPr>
            <w:tcW w:w="3300" w:type="dxa"/>
            <w:gridSpan w:val="3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Mzdová sféra</w:t>
            </w:r>
          </w:p>
        </w:tc>
        <w:tc>
          <w:tcPr>
            <w:tcW w:w="3300" w:type="dxa"/>
            <w:gridSpan w:val="3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Platová sféra</w:t>
            </w:r>
          </w:p>
        </w:tc>
      </w:tr>
      <w:tr>
        <w:trPr/>
        <w:tc>
          <w:tcPr>
            <w:tcW w:w="2400" w:type="dxa"/>
          </w:tcPr>
          <w:p>
            <w:pPr/>
            <w:r>
              <w:rPr>
                <w:b w:val="1"/>
                <w:bCs w:val="1"/>
              </w:rPr>
              <w:t xml:space="preserve">Kraj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Od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Do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Od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Do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Ústecký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29 625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36 746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44 848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Pardubický kraj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26 147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32 825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40 414 Kč</w:t>
            </w:r>
          </w:p>
        </w:tc>
      </w:tr>
    </w:tbl>
    <w:p/>
    <w:p>
      <w:pPr>
        <w:pStyle w:val="Heading3"/>
      </w:pPr>
      <w:bookmarkStart w:id="6" w:name="_Toc6"/>
      <w:r>
        <w:t>Hrubé měsíční mzdy v roce 2023 celkem</w:t>
      </w:r>
      <w:bookmarkEnd w:id="6"/>
    </w:p>
    <w:tbl>
      <w:tblGrid>
        <w:gridCol w:w="1000" w:type="dxa"/>
        <w:gridCol w:w="2000" w:type="dxa"/>
        <w:gridCol w:w="3000" w:type="dxa"/>
        <w:gridCol w:w="3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  <w:gridSpan w:val="2"/>
          </w:tcPr>
          <w:p/>
        </w:tc>
        <w:tc>
          <w:tcPr>
            <w:tcW w:w="6000" w:type="dxa"/>
            <w:gridSpan w:val="2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 za ČR celkem</w:t>
            </w:r>
          </w:p>
        </w:tc>
      </w:tr>
      <w:tr>
        <w:trPr/>
        <w:tc>
          <w:tcPr>
            <w:tcW w:w="1000" w:type="dxa"/>
          </w:tcPr>
          <w:p>
            <w:pPr/>
            <w:r>
              <w:rPr>
                <w:b w:val="1"/>
                <w:bCs w:val="1"/>
              </w:rPr>
              <w:t xml:space="preserve">CZ-ISCO</w:t>
            </w:r>
          </w:p>
        </w:tc>
        <w:tc>
          <w:tcPr>
            <w:tcW w:w="2000" w:type="dxa"/>
          </w:tcPr>
          <w:p/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Mzdová sféra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Platová sféra</w:t>
            </w:r>
          </w:p>
        </w:tc>
      </w:tr>
      <w:tr>
        <w:trPr/>
        <w:tc>
          <w:tcPr>
            <w:tcW w:w="1000" w:type="dxa"/>
          </w:tcPr>
          <w:p>
            <w:pPr>
              <w:jc w:val="center"/>
            </w:pPr>
            <w:r>
              <w:rPr/>
              <w:t xml:space="preserve">6121</w:t>
            </w:r>
          </w:p>
        </w:tc>
        <w:tc>
          <w:tcPr>
            <w:tcW w:w="2000" w:type="dxa"/>
          </w:tcPr>
          <w:p>
            <w:pPr/>
            <w:r>
              <w:rPr/>
              <w:t xml:space="preserve">Chovatelé hospodářských zvířat (kromě drůbeže)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33 758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35 040 Kč</w:t>
            </w:r>
          </w:p>
        </w:tc>
      </w:tr>
    </w:tbl>
    <w:p/>
    <w:p>
      <w:pPr>
        <w:pStyle w:val="Heading2"/>
      </w:pPr>
      <w:bookmarkStart w:id="7" w:name="_Toc7"/>
      <w:r>
        <w:t>ESCO</w:t>
      </w:r>
      <w:bookmarkEnd w:id="7"/>
    </w:p>
    <w:tbl>
      <w:tblGrid>
        <w:gridCol w:w="3000" w:type="dxa"/>
        <w:gridCol w:w="3000" w:type="dxa"/>
        <w:gridCol w:w="3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 podskupiny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 podskupiny v ESCO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URL - podskupiny v ESCO</w:t>
            </w:r>
          </w:p>
        </w:tc>
      </w:tr>
      <w:tr>
        <w:trPr/>
        <w:tc>
          <w:tcPr>
            <w:tcW w:w="3000" w:type="dxa"/>
          </w:tcPr>
          <w:p>
            <w:pPr/>
            <w:r>
              <w:rPr/>
              <w:t xml:space="preserve">6121</w:t>
            </w:r>
          </w:p>
        </w:tc>
        <w:tc>
          <w:tcPr>
            <w:tcW w:w="3000" w:type="dxa"/>
          </w:tcPr>
          <w:p>
            <w:pPr/>
            <w:r>
              <w:rPr/>
              <w:t xml:space="preserve">Chovatelé hospodářských zvířat (kromě drůbeže)</w:t>
            </w:r>
          </w:p>
        </w:tc>
        <w:tc>
          <w:tcPr>
            <w:tcW w:w="3000" w:type="dxa"/>
          </w:tcPr>
          <w:p>
            <w:pPr/>
            <w:r>
              <w:rPr/>
              <w:t xml:space="preserve">http://data.europa.eu/esco/isco/C6121</w:t>
            </w:r>
          </w:p>
        </w:tc>
      </w:tr>
    </w:tbl>
    <w:p/>
    <w:p/>
    <w:p/>
    <w:p>
      <w:pPr>
        <w:pStyle w:val="Heading2"/>
      </w:pPr>
      <w:bookmarkStart w:id="8" w:name="_Toc8"/>
      <w:r>
        <w:t>Pracovní podmínky</w:t>
      </w:r>
      <w:bookmarkEnd w:id="8"/>
    </w:p>
    <w:tbl>
      <w:tblGrid>
        <w:gridCol w:w="5000" w:type="dxa"/>
        <w:gridCol w:w="1000" w:type="dxa"/>
        <w:gridCol w:w="1000" w:type="dxa"/>
        <w:gridCol w:w="1000" w:type="dxa"/>
        <w:gridCol w:w="1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1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2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3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4</w:t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Celková fyzická zátěž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trupu a páteře s převahou statické práce (manipulace s břemeny)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teplem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chladem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hlukem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prachem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invazivními alergeny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biologickými činiteli způsobujícími onemocnění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Lokální zátěž - zátěž malých svalových skupin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Pracovní doba, směnnost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vibracemi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chemickými látkami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ionizujícím zářením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neionizujícím zářením a elektromagnetickým polem včetně laserů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Zraková zátěž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Lokální zátěž jemné motoriky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prací v omezeném nebo uzavřeném prostoru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prací v nevhodných pracovních polohách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Práce ve výškách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Duševní zátěž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Zvýšené riziko úrazu pracovníka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Zvýšené riziko obecného ohrožení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</w:tbl>
    <w:p/>
    <w:p>
      <w:pPr/>
      <w:r>
        <w:rPr>
          <w:sz w:val="16"/>
          <w:szCs w:val="16"/>
          <w:i w:val="1"/>
          <w:iCs w:val="1"/>
        </w:rPr>
        <w:t xml:space="preserve">Legenda: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1. Stupeň zátěže (minimální zdravotní riziko) - Faktor se při výkonu práce nevyskytuje nebo je zátěž faktorem minimální, vliv faktoru je ze zdravotního hlediska nevýznamný.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2. Stupeň zátěže (únosná míra zdravotního rizika) - Ze zdravotního hlediska je míra zátěže faktorem únosná, nepřekračuje limity stanovené předpisy, vliv faktoru je akceptovatelný pro zdravého člověka.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3. Stupeň zátěže (významná míra zdravotního rizika) - Úroveň zátěže překračuje stanovené limitní hodnoty expozice (zátěže), na pracovištích je nutná realizace náhradních technických a organizačních opatření, nelze vyloučit negativní vliv na zdraví pracovníků.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4. Stupeň zátěže (vysoká míra zdravotního rizika) - Úroveň zátěže vysoce překračuje stanovené limitní hodnoty expozice, na pracovištích musí být dodržován soubor preventivních opatření, častěji dochází k poškození zdraví.</w:t>
      </w:r>
    </w:p>
    <w:p/>
    <w:p/>
    <w:p>
      <w:pPr>
        <w:pStyle w:val="Heading2"/>
      </w:pPr>
      <w:bookmarkStart w:id="9" w:name="_Toc9"/>
      <w:r>
        <w:t>Kvalifikace k výkonu povolání</w:t>
      </w:r>
      <w:bookmarkEnd w:id="9"/>
    </w:p>
    <w:p>
      <w:pPr>
        <w:pStyle w:val="Heading3"/>
      </w:pPr>
      <w:bookmarkStart w:id="10" w:name="_Toc10"/>
      <w:r>
        <w:t>Školní vzdělání</w:t>
      </w:r>
      <w:bookmarkEnd w:id="10"/>
    </w:p>
    <w:p/>
    <w:p>
      <w:pPr>
        <w:pStyle w:val="Heading4"/>
      </w:pPr>
      <w:bookmarkStart w:id="11" w:name="_Toc11"/>
      <w:r>
        <w:t>Nejvhodnější školní přípravu poskytují obory:</w:t>
      </w:r>
      <w:bookmarkEnd w:id="11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Typ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výučním listem v oboru chovatel zvířat, chovatelské a zpracovatelské práce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4153H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RVP</w:t>
            </w:r>
          </w:p>
        </w:tc>
        <w:tc>
          <w:tcPr>
            <w:tcW w:w="5000" w:type="dxa"/>
          </w:tcPr>
          <w:p>
            <w:pPr/>
            <w:r>
              <w:rPr/>
              <w:t xml:space="preserve">Zemědělec - farmář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41-51-H/01</w:t>
            </w:r>
          </w:p>
        </w:tc>
      </w:tr>
    </w:tbl>
    <w:p/>
    <w:p>
      <w:pPr>
        <w:pStyle w:val="Heading4"/>
      </w:pPr>
      <w:bookmarkStart w:id="12" w:name="_Toc12"/>
      <w:r>
        <w:t>Vhodnou školní přípravu poskytují také obory:</w:t>
      </w:r>
      <w:bookmarkEnd w:id="12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Typ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výučním listem v oboru zemědělec, zemědělské práce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4151H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výučním listem v oboru zemědělec, zemědělské práce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4151E</w:t>
            </w:r>
          </w:p>
        </w:tc>
      </w:tr>
    </w:tbl>
    <w:p/>
    <w:p>
      <w:pPr>
        <w:pStyle w:val="Heading3"/>
      </w:pPr>
      <w:bookmarkStart w:id="13" w:name="_Toc13"/>
      <w:r>
        <w:t>Další vzdělání</w:t>
      </w:r>
      <w:bookmarkEnd w:id="13"/>
    </w:p>
    <w:p>
      <w:pPr>
        <w:pStyle w:val="Heading4"/>
      </w:pPr>
      <w:bookmarkStart w:id="14" w:name="_Toc14"/>
      <w:r>
        <w:t>Profesní kvalifikace</w:t>
      </w:r>
      <w:bookmarkEnd w:id="14"/>
    </w:p>
    <w:p>
      <w:pPr>
        <w:numPr>
          <w:ilvl w:val="0"/>
          <w:numId w:val="5"/>
        </w:numPr>
      </w:pPr>
      <w:r>
        <w:rPr/>
        <w:t xml:space="preserve">Chovatel a ošetřovatel / chovatelka a ošetřovatelka prasat (41-045-H)</w:t>
      </w:r>
    </w:p>
    <w:p/>
    <w:p/>
    <w:p>
      <w:pPr>
        <w:pStyle w:val="Heading2"/>
      </w:pPr>
      <w:bookmarkStart w:id="15" w:name="_Toc15"/>
      <w:r>
        <w:t>Kompetenční požadavky</w:t>
      </w:r>
      <w:bookmarkEnd w:id="15"/>
    </w:p>
    <w:p>
      <w:pPr>
        <w:pStyle w:val="Heading3"/>
      </w:pPr>
      <w:bookmarkStart w:id="16" w:name="_Toc16"/>
      <w:r>
        <w:t>Odborné dovednosti</w:t>
      </w:r>
      <w:bookmarkEnd w:id="16"/>
    </w:p>
    <w:tbl>
      <w:tblGrid>
        <w:gridCol w:w="2000" w:type="dxa"/>
        <w:gridCol w:w="3000" w:type="dxa"/>
        <w:gridCol w:w="2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1-8</w:t>
            </w:r>
          </w:p>
        </w:tc>
        <w:tc>
          <w:tcPr>
            <w:tcW w:w="2000" w:type="dxa"/>
          </w:tcPr>
          <w:p>
            <w:pPr/>
            <w:r>
              <w:rPr>
                <w:b w:val="1"/>
                <w:bCs w:val="1"/>
              </w:rPr>
              <w:t xml:space="preserve">Vhodnost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c11.D.8082</w:t>
            </w:r>
          </w:p>
        </w:tc>
        <w:tc>
          <w:tcPr>
            <w:tcW w:w="3000" w:type="dxa"/>
          </w:tcPr>
          <w:p>
            <w:pPr/>
            <w:r>
              <w:rPr/>
              <w:t xml:space="preserve">Evidence a označování prasat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c11.A.4202</w:t>
            </w:r>
          </w:p>
        </w:tc>
        <w:tc>
          <w:tcPr>
            <w:tcW w:w="3000" w:type="dxa"/>
          </w:tcPr>
          <w:p>
            <w:pPr/>
            <w:r>
              <w:rPr/>
              <w:t xml:space="preserve">Údržba stájí, posouzení mikroklimatu v objektech pro prasata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c11.A.8002</w:t>
            </w:r>
          </w:p>
        </w:tc>
        <w:tc>
          <w:tcPr>
            <w:tcW w:w="3000" w:type="dxa"/>
          </w:tcPr>
          <w:p>
            <w:pPr/>
            <w:r>
              <w:rPr/>
              <w:t xml:space="preserve">Příprava a dávkování krmiva pro prasata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c11.B.5005</w:t>
            </w:r>
          </w:p>
        </w:tc>
        <w:tc>
          <w:tcPr>
            <w:tcW w:w="3000" w:type="dxa"/>
          </w:tcPr>
          <w:p>
            <w:pPr/>
            <w:r>
              <w:rPr/>
              <w:t xml:space="preserve">Obsluha mechanizačních prostředků v chovech prasat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c11.D.8431</w:t>
            </w:r>
          </w:p>
        </w:tc>
        <w:tc>
          <w:tcPr>
            <w:tcW w:w="3000" w:type="dxa"/>
          </w:tcPr>
          <w:p>
            <w:pPr/>
            <w:r>
              <w:rPr/>
              <w:t xml:space="preserve">Řízení reprodukčního cyklu prasnic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Výhodné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c11.A.6100</w:t>
            </w:r>
          </w:p>
        </w:tc>
        <w:tc>
          <w:tcPr>
            <w:tcW w:w="3000" w:type="dxa"/>
          </w:tcPr>
          <w:p>
            <w:pPr/>
            <w:r>
              <w:rPr/>
              <w:t xml:space="preserve">Manipulace s prasaty při transportech na jatka s ohledem na welfare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Výhodné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c11.A.8160</w:t>
            </w:r>
          </w:p>
        </w:tc>
        <w:tc>
          <w:tcPr>
            <w:tcW w:w="3000" w:type="dxa"/>
          </w:tcPr>
          <w:p>
            <w:pPr/>
            <w:r>
              <w:rPr/>
              <w:t xml:space="preserve">Zacházení s prasaty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c11.A.8161</w:t>
            </w:r>
          </w:p>
        </w:tc>
        <w:tc>
          <w:tcPr>
            <w:tcW w:w="3000" w:type="dxa"/>
          </w:tcPr>
          <w:p>
            <w:pPr/>
            <w:r>
              <w:rPr/>
              <w:t xml:space="preserve">Napájení a krmení prasat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c11.A.8162</w:t>
            </w:r>
          </w:p>
        </w:tc>
        <w:tc>
          <w:tcPr>
            <w:tcW w:w="3000" w:type="dxa"/>
          </w:tcPr>
          <w:p>
            <w:pPr/>
            <w:r>
              <w:rPr/>
              <w:t xml:space="preserve">Péče o zdraví prasat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c11.A.8163</w:t>
            </w:r>
          </w:p>
        </w:tc>
        <w:tc>
          <w:tcPr>
            <w:tcW w:w="3000" w:type="dxa"/>
          </w:tcPr>
          <w:p>
            <w:pPr/>
            <w:r>
              <w:rPr/>
              <w:t xml:space="preserve">Reprodukce prasat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c11.A.8164</w:t>
            </w:r>
          </w:p>
        </w:tc>
        <w:tc>
          <w:tcPr>
            <w:tcW w:w="3000" w:type="dxa"/>
          </w:tcPr>
          <w:p>
            <w:pPr/>
            <w:r>
              <w:rPr/>
              <w:t xml:space="preserve">Péče o narozená selata a o jejich správný růst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https://nsp.cz/downloads/Priloha_c2_manualu.pdf</w:t>
      </w:r>
    </w:p>
    <w:p/>
    <w:p>
      <w:pPr>
        <w:pStyle w:val="Heading3"/>
      </w:pPr>
      <w:bookmarkStart w:id="17" w:name="_Toc17"/>
      <w:r>
        <w:t>Odborné znalosti</w:t>
      </w:r>
      <w:bookmarkEnd w:id="17"/>
    </w:p>
    <w:tbl>
      <w:tblGrid>
        <w:gridCol w:w="2000" w:type="dxa"/>
        <w:gridCol w:w="3000" w:type="dxa"/>
        <w:gridCol w:w="2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1-8</w:t>
            </w:r>
          </w:p>
        </w:tc>
        <w:tc>
          <w:tcPr>
            <w:tcW w:w="2000" w:type="dxa"/>
          </w:tcPr>
          <w:p>
            <w:pPr/>
            <w:r>
              <w:rPr>
                <w:b w:val="1"/>
                <w:bCs w:val="1"/>
              </w:rPr>
              <w:t xml:space="preserve">Vhodnost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c11._.0074</w:t>
            </w:r>
          </w:p>
        </w:tc>
        <w:tc>
          <w:tcPr>
            <w:tcW w:w="3000" w:type="dxa"/>
          </w:tcPr>
          <w:p>
            <w:pPr/>
            <w:r>
              <w:rPr/>
              <w:t xml:space="preserve">welfare zvířat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c11._.0080</w:t>
            </w:r>
          </w:p>
        </w:tc>
        <w:tc>
          <w:tcPr>
            <w:tcW w:w="3000" w:type="dxa"/>
          </w:tcPr>
          <w:p>
            <w:pPr/>
            <w:r>
              <w:rPr/>
              <w:t xml:space="preserve">krmení hospodářských zvířat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f21._.0022</w:t>
            </w:r>
          </w:p>
        </w:tc>
        <w:tc>
          <w:tcPr>
            <w:tcW w:w="3000" w:type="dxa"/>
          </w:tcPr>
          <w:p>
            <w:pPr/>
            <w:r>
              <w:rPr/>
              <w:t xml:space="preserve">hygienické normy a směrnice v oblasti životního prostředí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Výhodné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c11._.0041</w:t>
            </w:r>
          </w:p>
        </w:tc>
        <w:tc>
          <w:tcPr>
            <w:tcW w:w="3000" w:type="dxa"/>
          </w:tcPr>
          <w:p>
            <w:pPr/>
            <w:r>
              <w:rPr/>
              <w:t xml:space="preserve">zásady chovu hospodářských zvířat a jejich produkce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Výhodné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https://nsp.cz/downloads/Priloha_c2_manualu.pdf</w:t>
      </w:r>
    </w:p>
    <w:p/>
    <w:p>
      <w:pPr>
        <w:pStyle w:val="Heading3"/>
      </w:pPr>
      <w:bookmarkStart w:id="18" w:name="_Toc18"/>
      <w:r>
        <w:t>Obecné dovednosti</w:t>
      </w:r>
      <w:bookmarkEnd w:id="18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0-3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b01</w:t>
            </w:r>
          </w:p>
        </w:tc>
        <w:tc>
          <w:tcPr>
            <w:tcW w:w="5000" w:type="dxa"/>
          </w:tcPr>
          <w:p>
            <w:pPr/>
            <w:r>
              <w:rPr/>
              <w:t xml:space="preserve">Počítačová způsobilost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0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b02</w:t>
            </w:r>
          </w:p>
        </w:tc>
        <w:tc>
          <w:tcPr>
            <w:tcW w:w="5000" w:type="dxa"/>
          </w:tcPr>
          <w:p>
            <w:pPr/>
            <w:r>
              <w:rPr/>
              <w:t xml:space="preserve">Způsobilost k řízení osobního automobilu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b03</w:t>
            </w:r>
          </w:p>
        </w:tc>
        <w:tc>
          <w:tcPr>
            <w:tcW w:w="5000" w:type="dxa"/>
          </w:tcPr>
          <w:p>
            <w:pPr/>
            <w:r>
              <w:rPr/>
              <w:t xml:space="preserve">Numerická způsobilost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b04</w:t>
            </w:r>
          </w:p>
        </w:tc>
        <w:tc>
          <w:tcPr>
            <w:tcW w:w="5000" w:type="dxa"/>
          </w:tcPr>
          <w:p>
            <w:pPr/>
            <w:r>
              <w:rPr/>
              <w:t xml:space="preserve">Ekonomické povědomí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b05</w:t>
            </w:r>
          </w:p>
        </w:tc>
        <w:tc>
          <w:tcPr>
            <w:tcW w:w="5000" w:type="dxa"/>
          </w:tcPr>
          <w:p>
            <w:pPr/>
            <w:r>
              <w:rPr/>
              <w:t xml:space="preserve">Právní povědomí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b06</w:t>
            </w:r>
          </w:p>
        </w:tc>
        <w:tc>
          <w:tcPr>
            <w:tcW w:w="5000" w:type="dxa"/>
          </w:tcPr>
          <w:p>
            <w:pPr/>
            <w:r>
              <w:rPr/>
              <w:t xml:space="preserve">Jazyková způsobilost v češtině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b07</w:t>
            </w:r>
          </w:p>
        </w:tc>
        <w:tc>
          <w:tcPr>
            <w:tcW w:w="5000" w:type="dxa"/>
          </w:tcPr>
          <w:p>
            <w:pPr/>
            <w:r>
              <w:rPr/>
              <w:t xml:space="preserve">Jazyková způsobilost v angličtině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0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b08</w:t>
            </w:r>
          </w:p>
        </w:tc>
        <w:tc>
          <w:tcPr>
            <w:tcW w:w="5000" w:type="dxa"/>
          </w:tcPr>
          <w:p>
            <w:pPr/>
            <w:r>
              <w:rPr/>
              <w:t xml:space="preserve">Jazyková způsobilost v dalším cizím jazyce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0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https://nsp.cz/downloads/Priloha_c10_manualu.pdf</w:t>
      </w:r>
    </w:p>
    <w:p/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https://nsp.cz/downloads/Priloha_c15_manualu.pdf</w:t>
      </w:r>
    </w:p>
    <w:p/>
    <w:p>
      <w:pPr>
        <w:pStyle w:val="Heading3"/>
      </w:pPr>
      <w:bookmarkStart w:id="19" w:name="_Toc19"/>
      <w:r>
        <w:t>Měkké kompetence</w:t>
      </w:r>
      <w:bookmarkEnd w:id="19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0-5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2.1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efektivní komunikaci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2.6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vedení lidí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0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3.3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objevování a orientaci v informacích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1.4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ke zvládání stresu a zátěže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4.1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aktivnímu přístupu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1.1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celoživotnímu vzdělávání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4.2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plánování a organizování práce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4.4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řešení problémů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4.5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samostatnosti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4.6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výkonnosti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2.3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orientaci na zákazníka a uspokojování zákaznických potřeb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0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1.2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flexibilitě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1.3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ke kreativitě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2.2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ke kooperaci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2.4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ovlivňování a rozvíjení ostatních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0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https://nsp.cz/downloads/Priloha_c9_manualu.pdf</w:t>
      </w:r>
    </w:p>
    <w:p/>
    <w:p>
      <w:pPr>
        <w:pStyle w:val="Heading2"/>
      </w:pPr>
      <w:bookmarkStart w:id="20" w:name="_Toc20"/>
      <w:r>
        <w:t>Zdravotní podmínky</w:t>
      </w:r>
      <w:bookmarkEnd w:id="20"/>
    </w:p>
    <w:p>
      <w:pPr>
        <w:pStyle w:val="Heading3"/>
      </w:pPr>
      <w:bookmarkStart w:id="21" w:name="_Toc21"/>
      <w:r>
        <w:t>Onemocnění omezující výkon povolání / specializace povolání.</w:t>
      </w:r>
      <w:bookmarkEnd w:id="21"/>
    </w:p>
    <w:p>
      <w:pPr>
        <w:numPr>
          <w:ilvl w:val="0"/>
          <w:numId w:val="5"/>
        </w:numPr>
      </w:pPr>
      <w:r>
        <w:rPr/>
        <w:t xml:space="preserve">Onemocnění oběhové soustavy</w:t>
      </w:r>
    </w:p>
    <w:p>
      <w:pPr>
        <w:numPr>
          <w:ilvl w:val="0"/>
          <w:numId w:val="5"/>
        </w:numPr>
      </w:pPr>
      <w:r>
        <w:rPr/>
        <w:t xml:space="preserve">Poruchy termoregulace</w:t>
      </w:r>
    </w:p>
    <w:p>
      <w:pPr>
        <w:numPr>
          <w:ilvl w:val="0"/>
          <w:numId w:val="5"/>
        </w:numPr>
      </w:pPr>
      <w:r>
        <w:rPr/>
        <w:t xml:space="preserve">Závažná onemocnění dýchacích cest a plic</w:t>
      </w:r>
    </w:p>
    <w:p>
      <w:pPr>
        <w:numPr>
          <w:ilvl w:val="0"/>
          <w:numId w:val="5"/>
        </w:numPr>
      </w:pPr>
      <w:r>
        <w:rPr/>
        <w:t xml:space="preserve">Závažná onemocnění ledvin, močových cest</w:t>
      </w:r>
    </w:p>
    <w:p>
      <w:pPr>
        <w:numPr>
          <w:ilvl w:val="0"/>
          <w:numId w:val="5"/>
        </w:numPr>
      </w:pPr>
      <w:r>
        <w:rPr/>
        <w:t xml:space="preserve">Chronické záněty středouší</w:t>
      </w:r>
    </w:p>
    <w:p>
      <w:pPr>
        <w:numPr>
          <w:ilvl w:val="0"/>
          <w:numId w:val="5"/>
        </w:numPr>
      </w:pPr>
      <w:r>
        <w:rPr/>
        <w:t xml:space="preserve">Závažná degenerativní a zánětlivá onemocnění pohybového systému</w:t>
      </w:r>
    </w:p>
    <w:p>
      <w:pPr>
        <w:numPr>
          <w:ilvl w:val="0"/>
          <w:numId w:val="5"/>
        </w:numPr>
      </w:pPr>
      <w:r>
        <w:rPr/>
        <w:t xml:space="preserve">Závažná chronická onemocnění kůže a spojivek</w:t>
      </w:r>
    </w:p>
    <w:p>
      <w:pPr>
        <w:numPr>
          <w:ilvl w:val="0"/>
          <w:numId w:val="5"/>
        </w:numPr>
      </w:pPr>
      <w:r>
        <w:rPr/>
        <w:t xml:space="preserve">Alergická onemocnění</w:t>
      </w:r>
    </w:p>
    <w:p>
      <w:pPr>
        <w:numPr>
          <w:ilvl w:val="0"/>
          <w:numId w:val="5"/>
        </w:numPr>
      </w:pPr>
      <w:r>
        <w:rPr/>
        <w:t xml:space="preserve">Chronická onemocnění jater</w:t>
      </w:r>
    </w:p>
    <w:p>
      <w:pPr>
        <w:numPr>
          <w:ilvl w:val="0"/>
          <w:numId w:val="5"/>
        </w:numPr>
      </w:pPr>
      <w:r>
        <w:rPr/>
        <w:t xml:space="preserve">Závažné poruchy krvetvorby a krvácivé stavy</w:t>
      </w:r>
    </w:p>
    <w:p>
      <w:pPr>
        <w:pStyle w:val="Heading3"/>
      </w:pPr>
      <w:bookmarkStart w:id="22" w:name="_Toc22"/>
      <w:r>
        <w:t>Onemocnění vylučující výkon povolání / specializace povolání.e</w:t>
      </w:r>
      <w:bookmarkEnd w:id="22"/>
    </w:p>
    <w:p>
      <w:pPr>
        <w:numPr>
          <w:ilvl w:val="0"/>
          <w:numId w:val="5"/>
        </w:numPr>
      </w:pPr>
      <w:r>
        <w:rPr/>
        <w:t xml:space="preserve">Prognosticky závažné imunodeficitní stavy</w:t>
      </w:r>
    </w:p>
    <w:p>
      <w:pPr/>
      <w:r>
        <w:rPr>
          <w:sz w:val="16"/>
          <w:szCs w:val="16"/>
          <w:i w:val="1"/>
          <w:iCs w:val="1"/>
        </w:rPr>
        <w:t xml:space="preserve">Přesné posouzení zdravotního stavu s následným doporučením nebo nedoporučením výkonu této pozice je možné pouze po konzultaci s lékařem.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">
    <w:nsid w:val="C677B79A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5">
    <w:abstractNumId w:val="5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spacing w:after="120"/>
    </w:pPr>
    <w:rPr>
      <w:sz w:val="40"/>
      <w:szCs w:val="40"/>
      <w:b w:val="1"/>
      <w:bCs w:val="1"/>
    </w:rPr>
  </w:style>
  <w:style w:type="paragraph" w:styleId="Heading2">
    <w:link w:val="Heading2Char"/>
    <w:name w:val="heading 2"/>
    <w:basedOn w:val="Normal"/>
    <w:pPr>
      <w:spacing w:after="80"/>
    </w:pPr>
    <w:rPr>
      <w:sz w:val="28"/>
      <w:szCs w:val="28"/>
      <w:b w:val="1"/>
      <w:bCs w:val="1"/>
    </w:rPr>
  </w:style>
  <w:style w:type="paragraph" w:styleId="Heading3">
    <w:link w:val="Heading3Char"/>
    <w:name w:val="heading 3"/>
    <w:basedOn w:val="Normal"/>
    <w:pPr>
      <w:spacing w:after="60"/>
    </w:pPr>
    <w:rPr>
      <w:sz w:val="24"/>
      <w:szCs w:val="24"/>
      <w:b w:val="1"/>
      <w:bCs w:val="1"/>
    </w:rPr>
  </w:style>
  <w:style w:type="paragraph" w:styleId="Heading4">
    <w:link w:val="Heading4Char"/>
    <w:name w:val="heading 4"/>
    <w:basedOn w:val="Normal"/>
    <w:pPr>
      <w:spacing w:after="6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FDV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NSP.CZ</dc:creator>
  <dc:title>Chovatel a ošetřovatel prasat</dc:title>
  <dc:description>Chovatel a ošetřovatel prasat se stará o jednotlivé kategorie prasat a zajišťuje podmínky pro jejich odpovídající chov.</dc:description>
  <dc:subject/>
  <cp:keywords/>
  <cp:category>Specializace</cp:category>
  <cp:lastModifiedBy/>
  <dcterms:created xsi:type="dcterms:W3CDTF">2017-11-22T09:09:49+01:00</dcterms:created>
  <dcterms:modified xsi:type="dcterms:W3CDTF">2024-03-26T10:03:33+01:00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