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Webový interakční designer</w:t>
      </w:r>
      <w:bookmarkEnd w:id="1"/>
    </w:p>
    <w:p>
      <w:pPr/>
      <w:r>
        <w:rPr/>
        <w:t xml:space="preserve">Webový interakční designer vytváří koncept webových stránek na základě zadání od klienta a potřeb budoucích návštěvníků webu. Zabývá se uživatelským výzkumem, zpracovává návrh obsahu a struktury webu. Výstupy jeho práce dále rozpracovává webový grafik, webový kodér a programátoři.</w:t>
      </w:r>
    </w:p>
    <w:p/>
    <w:tbl>
      <w:tblGrid>
        <w:gridCol w:w="3000" w:type="dxa"/>
        <w:gridCol w:w="6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/>
            <w:r>
              <w:rPr>
                <w:b w:val="1"/>
                <w:bCs w:val="1"/>
              </w:rPr>
              <w:t xml:space="preserve">Odborný směr:</w:t>
            </w:r>
          </w:p>
        </w:tc>
        <w:tc>
          <w:tcPr>
            <w:tcW w:w="6000" w:type="dxa"/>
          </w:tcPr>
          <w:p>
            <w:pPr/>
            <w:r>
              <w:rPr/>
              <w:t xml:space="preserve">Informační technologie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Odborný podsměr:</w:t>
            </w:r>
          </w:p>
        </w:tc>
        <w:tc>
          <w:tcPr/>
          <w:p>
            <w:pPr/>
            <w:r>
              <w:rPr/>
              <w:t xml:space="preserve">navrhování, projektování a poradenství v IT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Kvalifikační úroveň:</w:t>
            </w:r>
          </w:p>
        </w:tc>
        <w:tc>
          <w:tcPr/>
          <w:p>
            <w:pPr/>
            <w:r>
              <w:rPr/>
              <w:t xml:space="preserve">Bakalářský studijní program; Vyšší odborné vzdělání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Alternativní názvy:</w:t>
            </w:r>
          </w:p>
        </w:tc>
        <w:tc>
          <w:tcPr/>
          <w:p>
            <w:pPr/>
            <w:r>
              <w:rPr/>
              <w:t xml:space="preserve">UX designer, User experience designer, Webdesigner, Interakční designer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Nadřízené povolání:</w:t>
            </w:r>
          </w:p>
        </w:tc>
        <w:tc>
          <w:tcPr/>
          <w:p>
            <w:pPr/>
            <w:r>
              <w:rPr/>
              <w:t xml:space="preserve">Webdesigner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Příbuzné specializace:</w:t>
            </w:r>
          </w:p>
        </w:tc>
        <w:tc>
          <w:tcPr/>
          <w:p>
            <w:pPr/>
            <w:r>
              <w:rPr/>
              <w:t xml:space="preserve">Webový interakční designer, Webový grafik, Webový kodér, Webový grafik, Webový grafik, Webový interakční designer, Webový kodér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Regulovaná jednotka práce:</w:t>
            </w:r>
          </w:p>
        </w:tc>
        <w:tc>
          <w:tcPr/>
          <w:p>
            <w:pPr/>
            <w:r>
              <w:rPr/>
              <w:t xml:space="preserve">ne</w:t>
            </w:r>
          </w:p>
        </w:tc>
      </w:tr>
    </w:tbl>
    <w:p/>
    <w:p>
      <w:pPr>
        <w:pStyle w:val="Heading2"/>
      </w:pPr>
      <w:bookmarkStart w:id="2" w:name="_Toc2"/>
      <w:r>
        <w:t>Pracovní činnosti</w:t>
      </w:r>
      <w:bookmarkEnd w:id="2"/>
    </w:p>
    <w:p>
      <w:pPr>
        <w:numPr>
          <w:ilvl w:val="0"/>
          <w:numId w:val="5"/>
        </w:numPr>
      </w:pPr>
      <w:r>
        <w:rPr/>
        <w:t xml:space="preserve">Komunikace se zákazníkem, identifikace jeho požadavku° a představ o webových stránkách.</w:t>
      </w:r>
    </w:p>
    <w:p>
      <w:pPr>
        <w:numPr>
          <w:ilvl w:val="0"/>
          <w:numId w:val="5"/>
        </w:numPr>
      </w:pPr>
      <w:r>
        <w:rPr/>
        <w:t xml:space="preserve">Plánování, provedení, vyhodnocení a zdokumentování uživatelského výzkumu.</w:t>
      </w:r>
    </w:p>
    <w:p>
      <w:pPr>
        <w:numPr>
          <w:ilvl w:val="0"/>
          <w:numId w:val="5"/>
        </w:numPr>
      </w:pPr>
      <w:r>
        <w:rPr/>
        <w:t xml:space="preserve">Zpracování návrhu obsahu a struktury webu.</w:t>
      </w:r>
    </w:p>
    <w:p>
      <w:pPr>
        <w:numPr>
          <w:ilvl w:val="0"/>
          <w:numId w:val="5"/>
        </w:numPr>
      </w:pPr>
      <w:r>
        <w:rPr/>
        <w:t xml:space="preserve">Zpracování návrhu uživatelského rozhraní webové prezentace.</w:t>
      </w:r>
    </w:p>
    <w:p>
      <w:pPr>
        <w:numPr>
          <w:ilvl w:val="0"/>
          <w:numId w:val="5"/>
        </w:numPr>
      </w:pPr>
      <w:r>
        <w:rPr/>
        <w:t xml:space="preserve">Prezentace návrhu webu zákazníkovi.</w:t>
      </w:r>
    </w:p>
    <w:p>
      <w:pPr>
        <w:numPr>
          <w:ilvl w:val="0"/>
          <w:numId w:val="5"/>
        </w:numPr>
      </w:pPr>
      <w:r>
        <w:rPr/>
        <w:t xml:space="preserve">Analýza a zhodnocení webu a jeho grafického návrhu.</w:t>
      </w:r>
    </w:p>
    <w:p>
      <w:pPr>
        <w:numPr>
          <w:ilvl w:val="0"/>
          <w:numId w:val="5"/>
        </w:numPr>
      </w:pPr>
      <w:r>
        <w:rPr/>
        <w:t xml:space="preserve">Zpracování dokumentace.</w:t>
      </w:r>
    </w:p>
    <w:p/>
    <w:p>
      <w:pPr>
        <w:pStyle w:val="Heading2"/>
      </w:pPr>
      <w:bookmarkStart w:id="3" w:name="_Toc3"/>
      <w:r>
        <w:t>CZ-ISCO</w:t>
      </w:r>
      <w:bookmarkEnd w:id="3"/>
    </w:p>
    <w:p>
      <w:pPr>
        <w:numPr>
          <w:ilvl w:val="0"/>
          <w:numId w:val="5"/>
        </w:numPr>
      </w:pPr>
      <w:r>
        <w:rPr/>
        <w:t xml:space="preserve">Grafici a výtvarníci v multimédiích</w:t>
      </w:r>
    </w:p>
    <w:p>
      <w:pPr>
        <w:numPr>
          <w:ilvl w:val="0"/>
          <w:numId w:val="5"/>
        </w:numPr>
      </w:pPr>
      <w:r>
        <w:rPr/>
        <w:t xml:space="preserve">Grafici a výtvarníci v multimédiích</w:t>
      </w:r>
    </w:p>
    <w:p/>
    <w:p>
      <w:pPr>
        <w:pStyle w:val="Heading3"/>
      </w:pPr>
      <w:bookmarkStart w:id="4" w:name="_Toc4"/>
      <w:r>
        <w:t>Hrubé měsíční mzdy podle krajů v roce 2025</w:t>
      </w:r>
      <w:bookmarkEnd w:id="4"/>
    </w:p>
    <w:p>
      <w:pPr>
        <w:pStyle w:val="Heading4"/>
      </w:pPr>
      <w:bookmarkStart w:id="5" w:name="_Toc5"/>
      <w:r>
        <w:t>Grafici a výtvarníci v multimédiích (CZ-ISCO 2166)</w:t>
      </w:r>
      <w:bookmarkEnd w:id="5"/>
    </w:p>
    <w:tbl>
      <w:tblGrid>
        <w:gridCol w:w="2400" w:type="dxa"/>
        <w:gridCol w:w="1100" w:type="dxa"/>
        <w:gridCol w:w="1100" w:type="dxa"/>
        <w:gridCol w:w="1100" w:type="dxa"/>
        <w:gridCol w:w="1100" w:type="dxa"/>
        <w:gridCol w:w="1100" w:type="dxa"/>
        <w:gridCol w:w="11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400" w:type="dxa"/>
          </w:tcPr>
          <w:p/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2400" w:type="dxa"/>
          </w:tcPr>
          <w:p>
            <w:pPr/>
            <w:r>
              <w:rPr>
                <w:b w:val="1"/>
                <w:bCs w:val="1"/>
              </w:rPr>
              <w:t xml:space="preserve">Kraj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Hlavní město Praha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40 372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61 389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105 794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Středočeský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44 359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60 084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108 648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</w:tbl>
    <w:p/>
    <w:p>
      <w:pPr>
        <w:pStyle w:val="Heading3"/>
      </w:pPr>
      <w:bookmarkStart w:id="6" w:name="_Toc6"/>
      <w:r>
        <w:t>Hrubé měsíční mzdy v roce 2025 celkem</w:t>
      </w:r>
      <w:bookmarkEnd w:id="6"/>
    </w:p>
    <w:tbl>
      <w:tblGrid>
        <w:gridCol w:w="1000" w:type="dxa"/>
        <w:gridCol w:w="2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  <w:gridSpan w:val="2"/>
          </w:tcPr>
          <w:p/>
        </w:tc>
        <w:tc>
          <w:tcPr>
            <w:tcW w:w="6000" w:type="dxa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 za ČR celkem</w:t>
            </w:r>
          </w:p>
        </w:tc>
      </w:tr>
      <w:tr>
        <w:trPr/>
        <w:tc>
          <w:tcPr>
            <w:tcW w:w="1000" w:type="dxa"/>
          </w:tcPr>
          <w:p>
            <w:pPr/>
            <w:r>
              <w:rPr>
                <w:b w:val="1"/>
                <w:bCs w:val="1"/>
              </w:rPr>
              <w:t xml:space="preserve">CZ-ISCO</w:t>
            </w:r>
          </w:p>
        </w:tc>
        <w:tc>
          <w:tcPr>
            <w:tcW w:w="2000" w:type="dxa"/>
          </w:tcPr>
          <w:p/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2000" w:type="dxa"/>
          </w:tcPr>
          <w:p>
            <w:pPr/>
            <w:r>
              <w:rPr/>
              <w:t xml:space="preserve">Grafici a výtvarníci v multimédiích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58 355 Kč</w:t>
            </w:r>
          </w:p>
        </w:tc>
      </w:tr>
    </w:tbl>
    <w:p/>
    <w:p>
      <w:pPr>
        <w:pStyle w:val="Heading2"/>
      </w:pPr>
      <w:bookmarkStart w:id="7" w:name="_Toc7"/>
      <w:r>
        <w:t>ESCO</w:t>
      </w:r>
      <w:bookmarkEnd w:id="7"/>
    </w:p>
    <w:tbl>
      <w:tblGrid>
        <w:gridCol w:w="3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 podskupiny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 podskupiny v ESCO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URL - podskupiny v ESCO</w:t>
            </w:r>
          </w:p>
        </w:tc>
      </w:tr>
      <w:tr>
        <w:trPr/>
        <w:tc>
          <w:tcPr>
            <w:tcW w:w="3000" w:type="dxa"/>
          </w:tcPr>
          <w:p>
            <w:pPr/>
            <w:r>
              <w:rPr/>
              <w:t xml:space="preserve">2166</w:t>
            </w:r>
          </w:p>
        </w:tc>
        <w:tc>
          <w:tcPr>
            <w:tcW w:w="3000" w:type="dxa"/>
          </w:tcPr>
          <w:p>
            <w:pPr/>
            <w:r>
              <w:rPr/>
              <w:t xml:space="preserve">Grafici a výtvarníci v multimédiích</w:t>
            </w:r>
          </w:p>
        </w:tc>
        <w:tc>
          <w:tcPr>
            <w:tcW w:w="3000" w:type="dxa"/>
          </w:tcPr>
          <w:p>
            <w:pPr/>
            <w:r>
              <w:rPr/>
              <w:t xml:space="preserve">http://data.europa.eu/esco/isco/C2166</w:t>
            </w:r>
          </w:p>
        </w:tc>
      </w:tr>
    </w:tbl>
    <w:p/>
    <w:p/>
    <w:p/>
    <w:p>
      <w:pPr>
        <w:pStyle w:val="Heading2"/>
      </w:pPr>
      <w:bookmarkStart w:id="8" w:name="_Toc8"/>
      <w:r>
        <w:t>Pracovní podmínky</w:t>
      </w:r>
      <w:bookmarkEnd w:id="8"/>
    </w:p>
    <w:p>
      <w:pPr/>
      <w:r>
        <w:rPr/>
        <w:t xml:space="preserve">Rizikové faktory pracovních podmínek a vyskytující se druhy zátěže upravuje nařízení vlády č. 361/2007 Sb., kterým se stanoví podmínky ochrany zdraví při práci, zákon č. 258/2000 Sb., o ochraně veřejného zdraví a zákon č. 262/2006 Sb., zákoník práce. Vždy vyplývají z pracovních podmínek, které se vztahují ke konkrétnímu zaměstnavateli, tudíž se mohou u různých zaměstnavatelů lišit.</w:t>
      </w:r>
    </w:p>
    <w:p/>
    <w:p>
      <w:pPr/>
      <w:r>
        <w:rPr/>
        <w:t xml:space="preserve">Určení míry výskytu faktorů, které mohou ovlivnit zdraví při práci vychází z druhu práce vykonávané na pracovišti. Faktory se zařazují do čtyř kategorií dle míry zdravotního rizika a jeho vlivu na zdraví. O zařazení prací do třetí nebo čtvrté kategorie rozhoduje příslušný orgán ochrany veřejného zdraví.</w:t>
      </w:r>
    </w:p>
    <w:p/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1. Stupeň zátěže (minimální zdravotní riziko) - Faktor se při výkonu práce nevyskytuje nebo je zátěž faktorem minimální, vliv faktoru je ze zdravotního hlediska nevýznamný.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2. Stupeň zátěže (únosná míra zdravotního rizika) - Ze zdravotního hlediska je míra zátěže faktorem únosná, nepřekračuje limity stanovené předpisy, vliv faktoru je akceptovatelný pro zdravého člověka.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3. Stupeň zátěže (významná míra zdravotního rizika) - Úroveň zátěže překračuje stanovené limitní hodnoty expozice (zátěže), na pracovištích je nutná realizace náhradních technických a organizačních opatření, nelze vyloučit negativní vliv na zdraví pracovníků.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4. Stupeň zátěže (vysoká míra zdravotního rizika) - Úroveň zátěže vysoce překračuje stanovené limitní hodnoty expozice, na pracovištích musí být dodržován soubor preventivních opatření, častěji dochází k poškození zdraví.</w:t>
      </w:r>
    </w:p>
    <w:p/>
    <w:p/>
    <w:p>
      <w:pPr>
        <w:pStyle w:val="Heading2"/>
      </w:pPr>
      <w:bookmarkStart w:id="9" w:name="_Toc9"/>
      <w:r>
        <w:t>Kvalifikace k výkonu povolání</w:t>
      </w:r>
      <w:bookmarkEnd w:id="9"/>
    </w:p>
    <w:p>
      <w:pPr>
        <w:pStyle w:val="Heading3"/>
      </w:pPr>
      <w:bookmarkStart w:id="10" w:name="_Toc10"/>
      <w:r>
        <w:t>Školní vzdělání</w:t>
      </w:r>
      <w:bookmarkEnd w:id="10"/>
    </w:p>
    <w:p/>
    <w:p>
      <w:pPr>
        <w:pStyle w:val="Heading4"/>
      </w:pPr>
      <w:bookmarkStart w:id="11" w:name="_Toc11"/>
      <w:r>
        <w:t>Nejvhodnější školní přípravu poskytují obory:</w:t>
      </w:r>
      <w:bookmarkEnd w:id="11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</w:tbl>
    <w:p/>
    <w:p>
      <w:pPr>
        <w:pStyle w:val="Heading4"/>
      </w:pPr>
      <w:bookmarkStart w:id="12" w:name="_Toc12"/>
      <w:r>
        <w:t>Vhodnou školní přípravu poskytují také obory:</w:t>
      </w:r>
      <w:bookmarkEnd w:id="12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Bakalářský studijní program v oboru informatika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1801R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Bakalářský studijní program v oboru aplikovaná informatika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1802R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Bakalářský studijní program ve skupině oborů informatické obory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18xxR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Bakalářský studijní program v oboru elektrotechnika a informatika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2612R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Bakalářský studijní program v oboru inženýrská informatika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3902R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Bakalářský studijní program v oboru systémové inženýrství a informatika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6209R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Bakalářský studijní program v oboru informační studia a knihovnictví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7201R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Vyšší odborné vzdělání v oboru výpočetní technika a informační technologie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2631N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Vyšší odborné vzdělání v oboru informační služby, knihovnictví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7241N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Informační technologie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18-20-M/01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Informatické obory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18-xx-M/xx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Grafický design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82-41-M/05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Multimediální tvorba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82-41-M/17</w:t>
            </w:r>
          </w:p>
        </w:tc>
      </w:tr>
    </w:tbl>
    <w:p/>
    <w:p>
      <w:pPr>
        <w:pStyle w:val="Heading2"/>
      </w:pPr>
      <w:bookmarkStart w:id="13" w:name="_Toc13"/>
      <w:r>
        <w:t>Kompetenční požadavky</w:t>
      </w:r>
      <w:bookmarkEnd w:id="13"/>
    </w:p>
    <w:p>
      <w:pPr>
        <w:pStyle w:val="Heading3"/>
      </w:pPr>
      <w:bookmarkStart w:id="14" w:name="_Toc14"/>
      <w:r>
        <w:t>Odborné dovednosti</w:t>
      </w:r>
      <w:bookmarkEnd w:id="14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j22.D.1145</w:t>
            </w:r>
          </w:p>
        </w:tc>
        <w:tc>
          <w:tcPr>
            <w:tcW w:w="3000" w:type="dxa"/>
          </w:tcPr>
          <w:p>
            <w:pPr/>
            <w:r>
              <w:rPr/>
              <w:t xml:space="preserve">Analýza a zhodnocení webu a jeho grafického návrhu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j22.D.1148</w:t>
            </w:r>
          </w:p>
        </w:tc>
        <w:tc>
          <w:tcPr>
            <w:tcW w:w="3000" w:type="dxa"/>
          </w:tcPr>
          <w:p>
            <w:pPr/>
            <w:r>
              <w:rPr/>
              <w:t xml:space="preserve">Základy výzkumu požadavků uživatelů na webovou prezentaci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j22.D.1149</w:t>
            </w:r>
          </w:p>
        </w:tc>
        <w:tc>
          <w:tcPr>
            <w:tcW w:w="3000" w:type="dxa"/>
          </w:tcPr>
          <w:p>
            <w:pPr/>
            <w:r>
              <w:rPr/>
              <w:t xml:space="preserve">Aplikace základů kognitivní psychologie a behaviorální ekonomie pro práci na webové prezentaci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j22.D.3421</w:t>
            </w:r>
          </w:p>
        </w:tc>
        <w:tc>
          <w:tcPr>
            <w:tcW w:w="3000" w:type="dxa"/>
          </w:tcPr>
          <w:p>
            <w:pPr/>
            <w:r>
              <w:rPr/>
              <w:t xml:space="preserve">Identifikace požadavků a představ zákazníka o webových stránkách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j22.C.2421</w:t>
            </w:r>
          </w:p>
        </w:tc>
        <w:tc>
          <w:tcPr>
            <w:tcW w:w="3000" w:type="dxa"/>
          </w:tcPr>
          <w:p>
            <w:pPr/>
            <w:r>
              <w:rPr/>
              <w:t xml:space="preserve">Prezentace možných řešení webových stránek zákazníkovi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m16.B.2056</w:t>
            </w:r>
          </w:p>
        </w:tc>
        <w:tc>
          <w:tcPr>
            <w:tcW w:w="3000" w:type="dxa"/>
          </w:tcPr>
          <w:p>
            <w:pPr/>
            <w:r>
              <w:rPr/>
              <w:t xml:space="preserve">Obsluha počítačů a počítačových programů pro tvorbu webdesignu a multimediálních programů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i41.D.1211</w:t>
            </w:r>
          </w:p>
        </w:tc>
        <w:tc>
          <w:tcPr>
            <w:tcW w:w="3000" w:type="dxa"/>
          </w:tcPr>
          <w:p>
            <w:pPr/>
            <w:r>
              <w:rPr/>
              <w:t xml:space="preserve">Orientace v příslušné legislativě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j22.D.1138</w:t>
            </w:r>
          </w:p>
        </w:tc>
        <w:tc>
          <w:tcPr>
            <w:tcW w:w="3000" w:type="dxa"/>
          </w:tcPr>
          <w:p>
            <w:pPr/>
            <w:r>
              <w:rPr/>
              <w:t xml:space="preserve">Orientace ve webových technologiích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j22.D.1142</w:t>
            </w:r>
          </w:p>
        </w:tc>
        <w:tc>
          <w:tcPr>
            <w:tcW w:w="3000" w:type="dxa"/>
          </w:tcPr>
          <w:p>
            <w:pPr/>
            <w:r>
              <w:rPr/>
              <w:t xml:space="preserve">Zpracování návrhu obsahu a struktury webu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j22.D.1143</w:t>
            </w:r>
          </w:p>
        </w:tc>
        <w:tc>
          <w:tcPr>
            <w:tcW w:w="3000" w:type="dxa"/>
          </w:tcPr>
          <w:p>
            <w:pPr/>
            <w:r>
              <w:rPr/>
              <w:t xml:space="preserve">Zpracování návrhu uživatelského rozhraní webové prezentace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j22.D.1144</w:t>
            </w:r>
          </w:p>
        </w:tc>
        <w:tc>
          <w:tcPr>
            <w:tcW w:w="3000" w:type="dxa"/>
          </w:tcPr>
          <w:p>
            <w:pPr/>
            <w:r>
              <w:rPr/>
              <w:t xml:space="preserve">Evaluace návrhu webu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5" w:name="_Toc15"/>
      <w:r>
        <w:t>Odborné znalosti</w:t>
      </w:r>
      <w:bookmarkEnd w:id="15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j31._.0024</w:t>
            </w:r>
          </w:p>
        </w:tc>
        <w:tc>
          <w:tcPr>
            <w:tcW w:w="3000" w:type="dxa"/>
          </w:tcPr>
          <w:p>
            <w:pPr/>
            <w:r>
              <w:rPr/>
              <w:t xml:space="preserve">psychologie reklamy a trhu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m12._.0006</w:t>
            </w:r>
          </w:p>
        </w:tc>
        <w:tc>
          <w:tcPr>
            <w:tcW w:w="3000" w:type="dxa"/>
          </w:tcPr>
          <w:p>
            <w:pPr/>
            <w:r>
              <w:rPr/>
              <w:t xml:space="preserve">grafický design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h11._.0008</w:t>
            </w:r>
          </w:p>
        </w:tc>
        <w:tc>
          <w:tcPr>
            <w:tcW w:w="3000" w:type="dxa"/>
          </w:tcPr>
          <w:p>
            <w:pPr/>
            <w:r>
              <w:rPr/>
              <w:t xml:space="preserve">fáze nákupního cyklu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j21._.0007</w:t>
            </w:r>
          </w:p>
        </w:tc>
        <w:tc>
          <w:tcPr>
            <w:tcW w:w="3000" w:type="dxa"/>
          </w:tcPr>
          <w:p>
            <w:pPr/>
            <w:r>
              <w:rPr/>
              <w:t xml:space="preserve">webová analytika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j21._.0008</w:t>
            </w:r>
          </w:p>
        </w:tc>
        <w:tc>
          <w:tcPr>
            <w:tcW w:w="3000" w:type="dxa"/>
          </w:tcPr>
          <w:p>
            <w:pPr/>
            <w:r>
              <w:rPr/>
              <w:t xml:space="preserve">informační architektura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j21._.0010</w:t>
            </w:r>
          </w:p>
        </w:tc>
        <w:tc>
          <w:tcPr>
            <w:tcW w:w="3000" w:type="dxa"/>
          </w:tcPr>
          <w:p>
            <w:pPr/>
            <w:r>
              <w:rPr/>
              <w:t xml:space="preserve">pravidla pro validaci webových formulářů na webových stránkách a výpis validačních zpráv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6" w:name="_Toc16"/>
      <w:r>
        <w:t>Digitální kompetence</w:t>
      </w:r>
      <w:bookmarkEnd w:id="16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Prohlížení, vyhledávání a filtrování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5.3</w:t>
            </w:r>
          </w:p>
        </w:tc>
        <w:tc>
          <w:tcPr>
            <w:tcW w:w="5000" w:type="dxa"/>
          </w:tcPr>
          <w:p>
            <w:pPr/>
            <w:r>
              <w:rPr/>
              <w:t xml:space="preserve">Kreativní využívání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5.2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potřeb a výběr vhodných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5.1</w:t>
            </w:r>
          </w:p>
        </w:tc>
        <w:tc>
          <w:tcPr>
            <w:tcW w:w="5000" w:type="dxa"/>
          </w:tcPr>
          <w:p>
            <w:pPr/>
            <w:r>
              <w:rPr/>
              <w:t xml:space="preserve">Řešení technických problémů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životního prostředí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4.3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zdraví a duševní pohody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osobních dat a soukromí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zařízení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Autorská práva a licence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3.2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Integrace a přepracování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3.1</w:t>
            </w:r>
          </w:p>
        </w:tc>
        <w:tc>
          <w:tcPr>
            <w:tcW w:w="5000" w:type="dxa"/>
          </w:tcPr>
          <w:p>
            <w:pPr/>
            <w:r>
              <w:rPr/>
              <w:t xml:space="preserve">Tvorba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2.5</w:t>
            </w:r>
          </w:p>
        </w:tc>
        <w:tc>
          <w:tcPr>
            <w:tcW w:w="5000" w:type="dxa"/>
          </w:tcPr>
          <w:p>
            <w:pPr/>
            <w:r>
              <w:rPr/>
              <w:t xml:space="preserve">Netiketa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Spolupráce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Sdílení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Interakce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Správa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Hodnocení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5.4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nedostatků v digitálních kompetencích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https://nsp.cz/downloads/Priloha_c15_manualu.pdf</w:t>
      </w:r>
    </w:p>
    <w:p/>
    <w:p>
      <w:pPr>
        <w:pStyle w:val="Heading3"/>
      </w:pPr>
      <w:bookmarkStart w:id="17" w:name="_Toc17"/>
      <w:r>
        <w:t>Měkké kompetence</w:t>
      </w:r>
      <w:bookmarkEnd w:id="17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0-5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efektivní komunikaci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flexibilitě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orientaci na zákazníka a uspokojování zákaznických potřeb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4.5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samostatnosti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řešení problémů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celoživotnímu vzdělávání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https://nsp.cz/downloads/Priloha_c9_manualu.pdf</w:t>
      </w:r>
    </w:p>
    <w:p/>
    <w:p>
      <w:pPr>
        <w:pStyle w:val="Heading2"/>
      </w:pPr>
      <w:bookmarkStart w:id="18" w:name="_Toc18"/>
      <w:r>
        <w:t>Zdravotní podmínky</w:t>
      </w:r>
      <w:bookmarkEnd w:id="18"/>
    </w:p>
    <w:p>
      <w:pPr>
        <w:pStyle w:val="Heading3"/>
      </w:pPr>
      <w:bookmarkStart w:id="19" w:name="_Toc19"/>
      <w:r>
        <w:t>Onemocnění omezující výkon povolání / specializace povolání.</w:t>
      </w:r>
      <w:bookmarkEnd w:id="19"/>
    </w:p>
    <w:p>
      <w:pPr>
        <w:numPr>
          <w:ilvl w:val="0"/>
          <w:numId w:val="5"/>
        </w:numPr>
      </w:pPr>
      <w:r>
        <w:rPr/>
        <w:t xml:space="preserve">Duševní poruchy a poruchy chování</w:t>
      </w:r>
    </w:p>
    <w:p>
      <w:pPr>
        <w:numPr>
          <w:ilvl w:val="0"/>
          <w:numId w:val="5"/>
        </w:numPr>
      </w:pPr>
      <w:r>
        <w:rPr/>
        <w:t xml:space="preserve">Závažné stavy po úrazech či operacích pohybového systému</w:t>
      </w:r>
    </w:p>
    <w:p>
      <w:pPr/>
      <w:r>
        <w:rPr>
          <w:sz w:val="16"/>
          <w:szCs w:val="16"/>
          <w:i w:val="1"/>
          <w:iCs w:val="1"/>
        </w:rPr>
        <w:t xml:space="preserve">Přesné posouzení zdravotního stavu s následným doporučením nebo nedoporučením výkonu této pozice je možné pouze po konzultaci s lékařem.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nsid w:val="90DC71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120"/>
    </w:pPr>
    <w:rPr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spacing w:after="80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spacing w:after="60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spacing w:after="6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FDV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NSP.CZ</dc:creator>
  <dc:title>Webový interakční designer</dc:title>
  <dc:description>Webový interakční designer vytváří koncept webových stránek na základě zadání od klienta a potřeb budoucích návštěvníků webu. Zabývá se uživatelským výzkumem, zpracovává návrh obsahu a struktury webu. Výstupy jeho práce dále rozpracovává webový grafik, webový kodér a programátoři.</dc:description>
  <dc:subject/>
  <cp:keywords/>
  <cp:category>Specializace</cp:category>
  <cp:lastModifiedBy/>
  <dcterms:created xsi:type="dcterms:W3CDTF">2017-11-22T09:15:05+01:00</dcterms:created>
  <dcterms:modified xsi:type="dcterms:W3CDTF">2020-09-21T16:29:50+02:00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