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grafik</w:t>
      </w:r>
      <w:bookmarkEnd w:id="1"/>
    </w:p>
    <w:p>
      <w:pPr/>
      <w:r>
        <w:rPr/>
        <w:t xml:space="preserve">Webový grafik vytváří grafické návrhy webových stránek na základě zadání od interakčního designera a kontextu webového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Webdesigner, Grafický designer webových stránek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detailních požadavků zákazníka na webovou prezentaci.</w:t>
      </w:r>
    </w:p>
    <w:p>
      <w:pPr>
        <w:numPr>
          <w:ilvl w:val="0"/>
          <w:numId w:val="5"/>
        </w:numPr>
      </w:pPr>
      <w:r>
        <w:rPr/>
        <w:t xml:space="preserve">Tvorba grafických návrhů webových stránek pro různé typy zařízení (mobil, tablet, počítač, televize, apod.).</w:t>
      </w:r>
    </w:p>
    <w:p>
      <w:pPr>
        <w:numPr>
          <w:ilvl w:val="0"/>
          <w:numId w:val="5"/>
        </w:numPr>
      </w:pPr>
      <w:r>
        <w:rPr/>
        <w:t xml:space="preserve">Aplikace typografických principů a principů grafického designu do prostředí webových stránek.</w:t>
      </w:r>
    </w:p>
    <w:p>
      <w:pPr>
        <w:numPr>
          <w:ilvl w:val="0"/>
          <w:numId w:val="5"/>
        </w:numPr>
      </w:pPr>
      <w:r>
        <w:rPr/>
        <w:t xml:space="preserve">Analýza a zhodnocení grafického návrhu webu.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grafického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grafických principů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typografických principů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principů interakčního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skic, wireframe a interaktivních prototypů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kognitivní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použitelnosti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DB82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grafik</dc:title>
  <dc:description>Webový grafik vytváří grafické návrhy webových stránek na základě zadání od interakčního designera a kontextu webového projektu.</dc:description>
  <dc:subject/>
  <cp:keywords/>
  <cp:category>Specializace</cp:category>
  <cp:lastModifiedBy/>
  <dcterms:created xsi:type="dcterms:W3CDTF">2017-11-22T09:34:48+01:00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