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Plukovník ozbrojených sil ČR</w:t>
      </w:r>
      <w:bookmarkEnd w:id="1"/>
    </w:p>
    <w:p>
      <w:pPr/>
      <w:r>
        <w:rPr/>
        <w:t xml:space="preserve">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Bezpečnostní ředitel Vojenského zpravodajství - ředitel odboru, Hlavní inspektor, Hlavní kaplan Ministerstva obrany ČR, Hlavní specialista Ministerstva obrany ČR, Hlavní styčný důstojník, Náčelník oboru, Náčelník odboru, Náčelník oddělení, Náčelník štábu, Náčelník, Náměstek ředitele, Přidělenec obrany, Ředitel centra, Ředitel kanceláře, Ředitel krajského vojenského velitelství, Ředitel odboru, Ředitel ústavu, Ředitel, Starší vedoucí vědecký pracovník, Vedoucí oddělení, Vedoucí směny, Velitel brigády, Velitel křídla, Velitel pluku, Velitel skupiny, Velitel střediska, Velitel školy, Velitel velitelství, Velitel základny, Velitel, Zástupce náčelníka odboru, Zástupce náčelníka odboru - náčelník oddělení, Zástupce náčelníka pracoviště, Zástupce náčelníka úseku, Zástupce náčelníka Vojenské kanceláře prezidenta republiky, Zástupce náčelníka, Zástupce náčelníka - náčelník odboru, Zástupce rektora - kvestor, Zástupce ředitele odboru, Zástupce ředitele odboru - vedoucí oddělení, Zástupce ředitele sekce, Zástupce ředitele úřadu, Zástupce ředitele, Zástupce ředitele - ředitel odboru, Zástupce velitele brigády, Zástupce velitele Hradní stráže, Zástupce velitele pluku, Zástupce velitele Velitelství výcviku - Vojenské akademie, Zástupce velitele základny,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l11.Z.0007</w:t>
            </w:r>
          </w:p>
        </w:tc>
        <w:tc>
          <w:tcPr>
            <w:tcW w:w="3000" w:type="dxa"/>
          </w:tcPr>
          <w:p>
            <w:pPr/>
            <w:r>
              <w:rPr/>
              <w:t xml:space="preserve">Koordinace vojenských diplomatických činností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l11.D.0028</w:t>
            </w:r>
          </w:p>
        </w:tc>
        <w:tc>
          <w:tcPr>
            <w:tcW w:w="3000" w:type="dxa"/>
          </w:tcPr>
          <w:p>
            <w:pPr/>
            <w:r>
              <w:rPr/>
              <w:t xml:space="preserve">Plnění úkolů, zajišťování a výkon odborných a odborně specializovaných činností vyplývajících z vojenské hodnosti 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l11._.0032</w:t>
            </w:r>
          </w:p>
        </w:tc>
        <w:tc>
          <w:tcPr>
            <w:tcW w:w="3000" w:type="dxa"/>
          </w:tcPr>
          <w:p>
            <w:pPr/>
            <w:r>
              <w:rPr/>
              <w:t xml:space="preserve">vojenská diplomacie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l11._.0036</w:t>
            </w:r>
          </w:p>
        </w:tc>
        <w:tc>
          <w:tcPr>
            <w:tcW w:w="3000" w:type="dxa"/>
          </w:tcPr>
          <w:p>
            <w:pPr/>
            <w:r>
              <w:rPr/>
              <w:t xml:space="preserve">činnosti 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0878F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Plukovník ozbrojených sil ČR</dc:title>
  <dc:description>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dc:description>
  <dc:subject/>
  <cp:keywords/>
  <cp:category>Povolání</cp:category>
  <cp:lastModifiedBy/>
  <dcterms:created xsi:type="dcterms:W3CDTF">2017-11-22T09:33:28+01:00</dcterms:created>
  <dcterms:modified xsi:type="dcterms:W3CDTF">2024-03-20T16:23:58+01:00</dcterms:modified>
</cp:coreProperties>
</file>

<file path=docProps/custom.xml><?xml version="1.0" encoding="utf-8"?>
<Properties xmlns="http://schemas.openxmlformats.org/officeDocument/2006/custom-properties" xmlns:vt="http://schemas.openxmlformats.org/officeDocument/2006/docPropsVTypes"/>
</file>