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Kapitán ozbrojených sil ČR</w:t>
      </w:r>
      <w:bookmarkEnd w:id="1"/>
    </w:p>
    <w:p>
      <w:pPr/>
      <w:r>
        <w:rPr/>
        <w:t xml:space="preserve">Kapitán ozbrojených sil ČR vykonává službu podle potřeb České republiky, kvalifikačních požadavků, předpokladů a vojenské odbornosti, s požadavkem na odolnost vůči zvýšené fyzické a psychické zátěži. V rámci služby vykonává specializované, technické a odborné činnosti související s výkonem a plněním odborných úkolů v oblasti vzdělávání, výcviku a péče o vojáka, nebo s plánováním a prováděním údržby a oprav speciálních vojenských technických prostředků a systémů, nebo s obsluhou vojenských technických systémů, nebo s prováděním technického dozoru a velí vojenským organizačním formacím na úrovni baterie, kompletu, odřadu, prvku, roty, skupiny, směny, stanoviště, střediska, štábu nebo oddělení.</w:t>
      </w:r>
    </w:p>
    <w:p/>
    <w:tbl>
      <w:tblGrid>
        <w:gridCol w:w="3000" w:type="dxa"/>
        <w:gridCol w:w="6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r>
              <w:rPr>
                <w:b w:val="1"/>
                <w:bCs w:val="1"/>
              </w:rPr>
              <w:t xml:space="preserve">Odborný směr:</w:t>
            </w:r>
          </w:p>
        </w:tc>
        <w:tc>
          <w:tcPr>
            <w:tcW w:w="6000" w:type="dxa"/>
          </w:tcPr>
          <w:p>
            <w:pPr/>
            <w:r>
              <w:rPr/>
              <w:t xml:space="preserve">Ozbrojené síly a bezpečnostní sbory</w:t>
            </w:r>
          </w:p>
        </w:tc>
      </w:tr>
      <w:tr>
        <w:trPr/>
        <w:tc>
          <w:tcPr/>
          <w:p>
            <w:pPr/>
            <w:r>
              <w:rPr>
                <w:b w:val="1"/>
                <w:bCs w:val="1"/>
              </w:rPr>
              <w:t xml:space="preserve">Odborný podsměr:</w:t>
            </w:r>
          </w:p>
        </w:tc>
        <w:tc>
          <w:tcPr/>
          <w:p>
            <w:pPr/>
            <w:r>
              <w:rPr/>
              <w:t xml:space="preserve">Armáda ČR</w:t>
            </w:r>
          </w:p>
        </w:tc>
      </w:tr>
      <w:tr>
        <w:trPr/>
        <w:tc>
          <w:tcPr/>
          <w:p>
            <w:pPr/>
            <w:r>
              <w:rPr>
                <w:b w:val="1"/>
                <w:bCs w:val="1"/>
              </w:rPr>
              <w:t xml:space="preserve">Kvalifikační úroveň:</w:t>
            </w:r>
          </w:p>
        </w:tc>
        <w:tc>
          <w:tcPr/>
          <w:p>
            <w:pPr/>
            <w:r>
              <w:rPr/>
              <w:t xml:space="preserve">Bakalářský studijní program; Vyšší odborné vzdělání</w:t>
            </w:r>
          </w:p>
        </w:tc>
      </w:tr>
      <w:tr>
        <w:trPr/>
        <w:tc>
          <w:tcPr/>
          <w:p>
            <w:pPr/>
            <w:r>
              <w:rPr>
                <w:b w:val="1"/>
                <w:bCs w:val="1"/>
              </w:rPr>
              <w:t xml:space="preserve">Alternativní názvy:</w:t>
            </w:r>
          </w:p>
        </w:tc>
        <w:tc>
          <w:tcPr/>
          <w:p>
            <w:pPr/>
            <w:r>
              <w:rPr/>
              <w:t xml:space="preserve">Velitel baterie, Velitel odřadu, Velitel prvku, Velitel roty, Náčelník stanoviště, Náčelník střediska, Velitel střediska, Náčelník štábu, Zástupce náčelníka, Zástupce ředitele, Zástupce velitele, Zástupce velitele stanoviště, Zástupce velitele roty - vychovatel, Zástupce velitele roty, Zástupce velitele střediska, Zástupce náčelníka střediska, Zástupce náčelníka prvku, Správce posádky, Navigátor letky, Vedoucí starší inspektor, Velitel kurzu, Náčelník laboratoře, Náčelník opravny, Náčelník prvku, Vedoucí skupiny, Velitel směny, Velitel střediska, Vedoucí starší důstojník, Zástupce náčelníka stanoviště, Zástupce velitele kurzů, Zástupce náčelníka oddělení, Zástupce náčelníka oddělení - náčelník skupiny, Zástupce náčelníka střediska - velitel náčelník skupiny, Zástupce náčelníka štábu, Zástupce náčelníka štábu - náčelník skupiny, Zástupce náčelníka úseku, Zástupce náčelníka úseku -  náčelník skupiny, Vedoucí starší důstojník, Starší asistent, Náčelník obvaziště, Velitel roje, Vědecký pracovník, Zástupce velitele roje, Vedoucí starší inženýr, Voják z povolání</w:t>
            </w:r>
          </w:p>
        </w:tc>
      </w:tr>
      <w:tr>
        <w:trPr/>
        <w:tc>
          <w:tcPr/>
          <w:p>
            <w:pPr/>
            <w:r>
              <w:rPr>
                <w:b w:val="1"/>
                <w:bCs w:val="1"/>
              </w:rPr>
              <w:t xml:space="preserve">Regulovaná jednotka práce:</w:t>
            </w:r>
          </w:p>
        </w:tc>
        <w:tc>
          <w:tcPr/>
          <w:p>
            <w:pPr/>
            <w:r>
              <w:rPr/>
              <w:t xml:space="preserve">Ano</w:t>
            </w:r>
          </w:p>
        </w:tc>
      </w:tr>
      <w:tr>
        <w:trPr/>
        <w:tc>
          <w:tcPr/>
          <w:p>
            <w:pPr/>
            <w:r>
              <w:rPr>
                <w:b w:val="1"/>
                <w:bCs w:val="1"/>
              </w:rPr>
              <w:t xml:space="preserve">Předpis regulující výkon povolání:</w:t>
            </w:r>
          </w:p>
        </w:tc>
        <w:tc>
          <w:tcPr/>
          <w:p>
            <w:pPr/>
            <w:r>
              <w:rPr/>
              <w:t xml:space="preserve">Povolání je vykonáváno v souladu se zákonem č. 221/1999 Sb., o vojácích z povolání a nařízením vlády č. 156/2019 Sb., kterým se mění nařízení vlády č. 60/2015 Sb., o stanovení seznamu činností pro jednotlivé vojenské hodnosti, ve znění nařízení vlády č. 429/2016 Sb. Zdravotní způsobilost pro výkon povolání je stanovena podle vyhlášky č. 357/2016 Sb., o zdravotní způsobilosti k výkonu vojenské činné služby.</w:t>
            </w:r>
          </w:p>
        </w:tc>
      </w:tr>
    </w:tbl>
    <w:p/>
    <w:p>
      <w:pPr>
        <w:pStyle w:val="Heading2"/>
      </w:pPr>
      <w:bookmarkStart w:id="2" w:name="_Toc2"/>
      <w:r>
        <w:t>CZ-ISCO</w:t>
      </w:r>
      <w:bookmarkEnd w:id="2"/>
    </w:p>
    <w:p>
      <w:pPr>
        <w:numPr>
          <w:ilvl w:val="0"/>
          <w:numId w:val="5"/>
        </w:numPr>
      </w:pPr>
      <w:r>
        <w:rPr/>
        <w:t xml:space="preserve">Nižší důstojníci v ozbrojených silách</w:t>
      </w:r>
    </w:p>
    <w:p>
      <w:pPr>
        <w:numPr>
          <w:ilvl w:val="0"/>
          <w:numId w:val="5"/>
        </w:numPr>
      </w:pPr>
      <w:r>
        <w:rPr/>
        <w:t xml:space="preserve">Generálové a důstojníci v ozbrojených silách</w:t>
      </w:r>
    </w:p>
    <w:p/>
    <w:p>
      <w:pPr>
        <w:pStyle w:val="Heading3"/>
      </w:pPr>
      <w:bookmarkStart w:id="3" w:name="_Toc3"/>
      <w:r>
        <w:t>Hrubé měsíční mzdy podle krajů v roce 2024</w:t>
      </w:r>
      <w:bookmarkEnd w:id="3"/>
    </w:p>
    <w:p>
      <w:pPr>
        <w:pStyle w:val="Heading4"/>
      </w:pPr>
      <w:bookmarkStart w:id="4" w:name="_Toc4"/>
      <w:r>
        <w:t>Generálové a důstojníci v ozbrojených silách (CZ-ISCO 0110)</w:t>
      </w:r>
      <w:bookmarkEnd w:id="4"/>
    </w:p>
    <w:tbl>
      <w:tblGrid>
        <w:gridCol w:w="2400" w:type="dxa"/>
        <w:gridCol w:w="1100" w:type="dxa"/>
        <w:gridCol w:w="1100" w:type="dxa"/>
        <w:gridCol w:w="1100" w:type="dxa"/>
        <w:gridCol w:w="1100" w:type="dxa"/>
        <w:gridCol w:w="1100" w:type="dxa"/>
        <w:gridCol w:w="1100" w:type="dxa"/>
      </w:tblGrid>
      <w:tblPr>
        <w:jc w:val="start"/>
        <w:tblW w:w="0" w:type="auto"/>
        <w:tblCellSpacing w:w="50" w:type="dxa"/>
        <w:tblLayout w:type="autofit"/>
        <w:bidiVisual w:val="0"/>
        <w:tblCellMar>
          <w:top w:w="80" w:type="dxa"/>
          <w:left w:w="80" w:type="dxa"/>
          <w:right w:w="80" w:type="dxa"/>
          <w:bottom w:w="80" w:type="dxa"/>
        </w:tblCellMar>
      </w:tblPr>
      <w:tr>
        <w:trPr/>
        <w:tc>
          <w:tcPr>
            <w:tcW w:w="2400" w:type="dxa"/>
          </w:tcPr>
          <w:p/>
        </w:tc>
        <w:tc>
          <w:tcPr>
            <w:tcW w:w="3300" w:type="dxa"/>
            <w:gridSpan w:val="3"/>
          </w:tcPr>
          <w:p>
            <w:pPr>
              <w:jc w:val="center"/>
            </w:pPr>
            <w:r>
              <w:rPr>
                <w:b w:val="1"/>
                <w:bCs w:val="1"/>
              </w:rPr>
              <w:t xml:space="preserve">Mzdová sféra</w:t>
            </w:r>
          </w:p>
        </w:tc>
        <w:tc>
          <w:tcPr>
            <w:tcW w:w="3300" w:type="dxa"/>
            <w:gridSpan w:val="3"/>
          </w:tcPr>
          <w:p>
            <w:pPr>
              <w:jc w:val="center"/>
            </w:pPr>
            <w:r>
              <w:rPr>
                <w:b w:val="1"/>
                <w:bCs w:val="1"/>
              </w:rPr>
              <w:t xml:space="preserve">Platová sféra</w:t>
            </w:r>
          </w:p>
        </w:tc>
      </w:tr>
      <w:tr>
        <w:trPr/>
        <w:tc>
          <w:tcPr>
            <w:tcW w:w="2400" w:type="dxa"/>
          </w:tcPr>
          <w:p>
            <w:pPr/>
            <w:r>
              <w:rPr>
                <w:b w:val="1"/>
                <w:bCs w:val="1"/>
              </w:rPr>
              <w:t xml:space="preserve">Kraj</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r>
      <w:tr>
        <w:trPr/>
        <w:tc>
          <w:tcPr>
            <w:tcW w:w="2000" w:type="dxa"/>
          </w:tcPr>
          <w:p>
            <w:pPr/>
            <w:r>
              <w:rPr/>
              <w:t xml:space="preserve">Hlavní město Praha</w:t>
            </w:r>
          </w:p>
        </w:tc>
        <w:tc>
          <w:tcPr>
            <w:tcW w:w="1000" w:type="dxa"/>
          </w:tcPr>
          <w:p/>
        </w:tc>
        <w:tc>
          <w:tcPr>
            <w:tcW w:w="1000" w:type="dxa"/>
          </w:tcPr>
          <w:p/>
        </w:tc>
        <w:tc>
          <w:tcPr>
            <w:tcW w:w="1000" w:type="dxa"/>
          </w:tcPr>
          <w:p/>
        </w:tc>
        <w:tc>
          <w:tcPr>
            <w:tcW w:w="1000" w:type="dxa"/>
          </w:tcPr>
          <w:p>
            <w:pPr>
              <w:jc w:val="center"/>
            </w:pPr>
            <w:r>
              <w:rPr/>
              <w:t xml:space="preserve">54 936 Kč</w:t>
            </w:r>
          </w:p>
        </w:tc>
        <w:tc>
          <w:tcPr>
            <w:tcW w:w="1000" w:type="dxa"/>
          </w:tcPr>
          <w:p>
            <w:pPr>
              <w:jc w:val="center"/>
            </w:pPr>
            <w:r>
              <w:rPr/>
              <w:t xml:space="preserve">74 079 Kč</w:t>
            </w:r>
          </w:p>
        </w:tc>
        <w:tc>
          <w:tcPr>
            <w:tcW w:w="1000" w:type="dxa"/>
          </w:tcPr>
          <w:p>
            <w:pPr>
              <w:jc w:val="center"/>
            </w:pPr>
            <w:r>
              <w:rPr/>
              <w:t xml:space="preserve">90 121 Kč</w:t>
            </w:r>
          </w:p>
        </w:tc>
      </w:tr>
    </w:tbl>
    <w:p/>
    <w:p>
      <w:pPr>
        <w:pStyle w:val="Heading3"/>
      </w:pPr>
      <w:bookmarkStart w:id="5" w:name="_Toc5"/>
      <w:r>
        <w:t>Hrubé měsíční mzdy v roce 2024 celkem</w:t>
      </w:r>
      <w:bookmarkEnd w:id="5"/>
    </w:p>
    <w:tbl>
      <w:tblGrid>
        <w:gridCol w:w="1000" w:type="dxa"/>
        <w:gridCol w:w="2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gridSpan w:val="2"/>
          </w:tcPr>
          <w:p/>
        </w:tc>
        <w:tc>
          <w:tcPr>
            <w:tcW w:w="6000" w:type="dxa"/>
            <w:gridSpan w:val="2"/>
          </w:tcPr>
          <w:p>
            <w:pPr>
              <w:jc w:val="center"/>
            </w:pPr>
            <w:r>
              <w:rPr>
                <w:b w:val="1"/>
                <w:bCs w:val="1"/>
              </w:rPr>
              <w:t xml:space="preserve">Medián za ČR celkem</w:t>
            </w:r>
          </w:p>
        </w:tc>
      </w:tr>
      <w:tr>
        <w:trPr/>
        <w:tc>
          <w:tcPr>
            <w:tcW w:w="1000" w:type="dxa"/>
          </w:tcPr>
          <w:p>
            <w:pPr/>
            <w:r>
              <w:rPr>
                <w:b w:val="1"/>
                <w:bCs w:val="1"/>
              </w:rPr>
              <w:t xml:space="preserve">CZ-ISCO</w:t>
            </w:r>
          </w:p>
        </w:tc>
        <w:tc>
          <w:tcPr>
            <w:tcW w:w="2000" w:type="dxa"/>
          </w:tcPr>
          <w:p/>
        </w:tc>
        <w:tc>
          <w:tcPr>
            <w:tcW w:w="3000" w:type="dxa"/>
          </w:tcPr>
          <w:p>
            <w:pPr>
              <w:jc w:val="center"/>
            </w:pPr>
            <w:r>
              <w:rPr>
                <w:b w:val="1"/>
                <w:bCs w:val="1"/>
              </w:rPr>
              <w:t xml:space="preserve">Mzdová sféra</w:t>
            </w:r>
          </w:p>
        </w:tc>
        <w:tc>
          <w:tcPr>
            <w:tcW w:w="3000" w:type="dxa"/>
          </w:tcPr>
          <w:p>
            <w:pPr>
              <w:jc w:val="center"/>
            </w:pPr>
            <w:r>
              <w:rPr>
                <w:b w:val="1"/>
                <w:bCs w:val="1"/>
              </w:rPr>
              <w:t xml:space="preserve">Platová sféra</w:t>
            </w:r>
          </w:p>
        </w:tc>
      </w:tr>
      <w:tr>
        <w:trPr/>
        <w:tc>
          <w:tcPr>
            <w:tcW w:w="1000" w:type="dxa"/>
          </w:tcPr>
          <w:p>
            <w:pPr>
              <w:jc w:val="center"/>
            </w:pPr>
            <w:r>
              <w:rPr/>
              <w:t xml:space="preserve">0110</w:t>
            </w:r>
          </w:p>
        </w:tc>
        <w:tc>
          <w:tcPr>
            <w:tcW w:w="2000" w:type="dxa"/>
          </w:tcPr>
          <w:p>
            <w:pPr/>
            <w:r>
              <w:rPr/>
              <w:t xml:space="preserve">Generálové a důstojníci v ozbrojených silách</w:t>
            </w:r>
          </w:p>
        </w:tc>
        <w:tc>
          <w:tcPr>
            <w:tcW w:w="1000" w:type="dxa"/>
          </w:tcPr>
          <w:p>
            <w:pPr>
              <w:jc w:val="center"/>
            </w:pPr>
            <w:r>
              <w:rPr/>
              <w:t xml:space="preserve">65 925 Kč</w:t>
            </w:r>
          </w:p>
        </w:tc>
        <w:tc>
          <w:tcPr>
            <w:tcW w:w="1000" w:type="dxa"/>
          </w:tcPr>
          <w:p>
            <w:pPr>
              <w:jc w:val="center"/>
            </w:pPr>
            <w:r>
              <w:rPr/>
              <w:t xml:space="preserve">-</w:t>
            </w:r>
          </w:p>
        </w:tc>
      </w:tr>
      <w:tr>
        <w:trPr/>
        <w:tc>
          <w:tcPr>
            <w:tcW w:w="1000" w:type="dxa"/>
          </w:tcPr>
          <w:p>
            <w:pPr>
              <w:jc w:val="center"/>
            </w:pPr>
            <w:r>
              <w:rPr/>
              <w:t xml:space="preserve">01103</w:t>
            </w:r>
          </w:p>
        </w:tc>
        <w:tc>
          <w:tcPr>
            <w:tcW w:w="2000" w:type="dxa"/>
          </w:tcPr>
          <w:p>
            <w:pPr/>
            <w:r>
              <w:rPr/>
              <w:t xml:space="preserve">Nižší důstojníci v ozbrojených silách</w:t>
            </w:r>
          </w:p>
        </w:tc>
        <w:tc>
          <w:tcPr>
            <w:tcW w:w="1000" w:type="dxa"/>
          </w:tcPr>
          <w:p>
            <w:pPr>
              <w:jc w:val="center"/>
            </w:pPr>
            <w:r>
              <w:rPr/>
              <w:t xml:space="preserve">58 534 Kč</w:t>
            </w:r>
          </w:p>
        </w:tc>
        <w:tc>
          <w:tcPr>
            <w:tcW w:w="1000" w:type="dxa"/>
          </w:tcPr>
          <w:p>
            <w:pPr>
              <w:jc w:val="center"/>
            </w:pPr>
            <w:r>
              <w:rPr/>
              <w:t xml:space="preserve">-</w:t>
            </w:r>
          </w:p>
        </w:tc>
      </w:tr>
    </w:tbl>
    <w:p/>
    <w:p>
      <w:pPr>
        <w:pStyle w:val="Heading2"/>
      </w:pPr>
      <w:bookmarkStart w:id="6" w:name="_Toc6"/>
      <w:r>
        <w:t>ESCO</w:t>
      </w:r>
      <w:bookmarkEnd w:id="6"/>
    </w:p>
    <w:tbl>
      <w:tblGrid>
        <w:gridCol w:w="3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jc w:val="center"/>
            </w:pPr>
            <w:r>
              <w:rPr>
                <w:b w:val="1"/>
                <w:bCs w:val="1"/>
              </w:rPr>
              <w:t xml:space="preserve">Kód podskupiny</w:t>
            </w:r>
          </w:p>
        </w:tc>
        <w:tc>
          <w:tcPr>
            <w:tcW w:w="3000" w:type="dxa"/>
          </w:tcPr>
          <w:p>
            <w:pPr>
              <w:jc w:val="center"/>
            </w:pPr>
            <w:r>
              <w:rPr>
                <w:b w:val="1"/>
                <w:bCs w:val="1"/>
              </w:rPr>
              <w:t xml:space="preserve">Název podskupiny v ESCO</w:t>
            </w:r>
          </w:p>
        </w:tc>
        <w:tc>
          <w:tcPr>
            <w:tcW w:w="3000" w:type="dxa"/>
          </w:tcPr>
          <w:p>
            <w:pPr>
              <w:jc w:val="center"/>
            </w:pPr>
            <w:r>
              <w:rPr>
                <w:b w:val="1"/>
                <w:bCs w:val="1"/>
              </w:rPr>
              <w:t xml:space="preserve">URL - podskupiny v ESCO</w:t>
            </w:r>
          </w:p>
        </w:tc>
      </w:tr>
      <w:tr>
        <w:trPr/>
        <w:tc>
          <w:tcPr>
            <w:tcW w:w="3000" w:type="dxa"/>
          </w:tcPr>
          <w:p>
            <w:pPr/>
            <w:r>
              <w:rPr/>
              <w:t xml:space="preserve">0110</w:t>
            </w:r>
          </w:p>
        </w:tc>
        <w:tc>
          <w:tcPr>
            <w:tcW w:w="3000" w:type="dxa"/>
          </w:tcPr>
          <w:p>
            <w:pPr/>
            <w:r>
              <w:rPr/>
              <w:t xml:space="preserve">Generálové a důstojníci v ozbrojených silách</w:t>
            </w:r>
          </w:p>
        </w:tc>
        <w:tc>
          <w:tcPr>
            <w:tcW w:w="3000" w:type="dxa"/>
          </w:tcPr>
          <w:p>
            <w:pPr/>
            <w:r>
              <w:rPr/>
              <w:t xml:space="preserve">http://data.europa.eu/esco/isco/C0110</w:t>
            </w:r>
          </w:p>
        </w:tc>
      </w:tr>
    </w:tbl>
    <w:p/>
    <w:p/>
    <w:p/>
    <w:p>
      <w:pPr>
        <w:pStyle w:val="Heading2"/>
      </w:pPr>
      <w:bookmarkStart w:id="7" w:name="_Toc7"/>
      <w:r>
        <w:t>Kvalifikace k výkonu povolání</w:t>
      </w:r>
      <w:bookmarkEnd w:id="7"/>
    </w:p>
    <w:p>
      <w:pPr>
        <w:pStyle w:val="Heading3"/>
      </w:pPr>
      <w:bookmarkStart w:id="8" w:name="_Toc8"/>
      <w:r>
        <w:t>Školní vzdělání</w:t>
      </w:r>
      <w:bookmarkEnd w:id="8"/>
    </w:p>
    <w:p/>
    <w:p>
      <w:pPr>
        <w:pStyle w:val="Heading4"/>
      </w:pPr>
      <w:bookmarkStart w:id="9" w:name="_Toc9"/>
      <w:r>
        <w:t>Nejvhodnější školní přípravu poskytují obory:</w:t>
      </w:r>
      <w:bookmarkEnd w:id="9"/>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Bakalářský studijní program v oboru vojenská technika strojní</w:t>
            </w:r>
          </w:p>
        </w:tc>
        <w:tc>
          <w:tcPr>
            <w:tcW w:w="2000" w:type="dxa"/>
          </w:tcPr>
          <w:p>
            <w:pPr>
              <w:jc w:val="center"/>
            </w:pPr>
            <w:r>
              <w:rPr/>
              <w:t xml:space="preserve">2304R</w:t>
            </w:r>
          </w:p>
        </w:tc>
      </w:tr>
      <w:tr>
        <w:trPr/>
        <w:tc>
          <w:tcPr>
            <w:tcW w:w="2000" w:type="dxa"/>
          </w:tcPr>
          <w:p>
            <w:pPr>
              <w:jc w:val="center"/>
            </w:pPr>
            <w:r>
              <w:rPr/>
              <w:t xml:space="preserve">KKOV</w:t>
            </w:r>
          </w:p>
        </w:tc>
        <w:tc>
          <w:tcPr>
            <w:tcW w:w="5000" w:type="dxa"/>
          </w:tcPr>
          <w:p>
            <w:pPr/>
            <w:r>
              <w:rPr/>
              <w:t xml:space="preserve">Bakalářský studijní program v oboru vojenský zdravotnický management</w:t>
            </w:r>
          </w:p>
        </w:tc>
        <w:tc>
          <w:tcPr>
            <w:tcW w:w="2000" w:type="dxa"/>
          </w:tcPr>
          <w:p>
            <w:pPr>
              <w:jc w:val="center"/>
            </w:pPr>
            <w:r>
              <w:rPr/>
              <w:t xml:space="preserve">9507R</w:t>
            </w:r>
          </w:p>
        </w:tc>
      </w:tr>
      <w:tr>
        <w:trPr/>
        <w:tc>
          <w:tcPr>
            <w:tcW w:w="2000" w:type="dxa"/>
          </w:tcPr>
          <w:p>
            <w:pPr>
              <w:jc w:val="center"/>
            </w:pPr>
            <w:r>
              <w:rPr/>
              <w:t xml:space="preserve">KKOV</w:t>
            </w:r>
          </w:p>
        </w:tc>
        <w:tc>
          <w:tcPr>
            <w:tcW w:w="5000" w:type="dxa"/>
          </w:tcPr>
          <w:p>
            <w:pPr/>
            <w:r>
              <w:rPr/>
              <w:t xml:space="preserve">Bakalářský studijní program v oboru vojenské specializace</w:t>
            </w:r>
          </w:p>
        </w:tc>
        <w:tc>
          <w:tcPr>
            <w:tcW w:w="2000" w:type="dxa"/>
          </w:tcPr>
          <w:p>
            <w:pPr>
              <w:jc w:val="center"/>
            </w:pPr>
            <w:r>
              <w:rPr/>
              <w:t xml:space="preserve">9115R</w:t>
            </w:r>
          </w:p>
        </w:tc>
      </w:tr>
      <w:tr>
        <w:trPr/>
        <w:tc>
          <w:tcPr>
            <w:tcW w:w="2000" w:type="dxa"/>
          </w:tcPr>
          <w:p>
            <w:pPr>
              <w:jc w:val="center"/>
            </w:pPr>
            <w:r>
              <w:rPr/>
              <w:t xml:space="preserve">KKOV</w:t>
            </w:r>
          </w:p>
        </w:tc>
        <w:tc>
          <w:tcPr>
            <w:tcW w:w="5000" w:type="dxa"/>
          </w:tcPr>
          <w:p>
            <w:pPr/>
            <w:r>
              <w:rPr/>
              <w:t xml:space="preserve">Bakalářský studijní program v oboru ochrana vojsk a obyvatel</w:t>
            </w:r>
          </w:p>
        </w:tc>
        <w:tc>
          <w:tcPr>
            <w:tcW w:w="2000" w:type="dxa"/>
          </w:tcPr>
          <w:p>
            <w:pPr>
              <w:jc w:val="center"/>
            </w:pPr>
            <w:r>
              <w:rPr/>
              <w:t xml:space="preserve">9111R</w:t>
            </w:r>
          </w:p>
        </w:tc>
      </w:tr>
      <w:tr>
        <w:trPr/>
        <w:tc>
          <w:tcPr>
            <w:tcW w:w="2000" w:type="dxa"/>
          </w:tcPr>
          <w:p>
            <w:pPr>
              <w:jc w:val="center"/>
            </w:pPr>
            <w:r>
              <w:rPr/>
              <w:t xml:space="preserve">KKOV</w:t>
            </w:r>
          </w:p>
        </w:tc>
        <w:tc>
          <w:tcPr>
            <w:tcW w:w="5000" w:type="dxa"/>
          </w:tcPr>
          <w:p>
            <w:pPr/>
            <w:r>
              <w:rPr/>
              <w:t xml:space="preserve">Bakalářský studijní program v oboru teorie řízení a bojového použití jednotek pozemního vojska</w:t>
            </w:r>
          </w:p>
        </w:tc>
        <w:tc>
          <w:tcPr>
            <w:tcW w:w="2000" w:type="dxa"/>
          </w:tcPr>
          <w:p>
            <w:pPr>
              <w:jc w:val="center"/>
            </w:pPr>
            <w:r>
              <w:rPr/>
              <w:t xml:space="preserve">9109R</w:t>
            </w:r>
          </w:p>
        </w:tc>
      </w:tr>
      <w:tr>
        <w:trPr/>
        <w:tc>
          <w:tcPr>
            <w:tcW w:w="2000" w:type="dxa"/>
          </w:tcPr>
          <w:p>
            <w:pPr>
              <w:jc w:val="center"/>
            </w:pPr>
            <w:r>
              <w:rPr/>
              <w:t xml:space="preserve">KKOV</w:t>
            </w:r>
          </w:p>
        </w:tc>
        <w:tc>
          <w:tcPr>
            <w:tcW w:w="5000" w:type="dxa"/>
          </w:tcPr>
          <w:p>
            <w:pPr/>
            <w:r>
              <w:rPr/>
              <w:t xml:space="preserve">Bakalářský studijní program v oboru vojenská logistika</w:t>
            </w:r>
          </w:p>
        </w:tc>
        <w:tc>
          <w:tcPr>
            <w:tcW w:w="2000" w:type="dxa"/>
          </w:tcPr>
          <w:p>
            <w:pPr>
              <w:jc w:val="center"/>
            </w:pPr>
            <w:r>
              <w:rPr/>
              <w:t xml:space="preserve">9108R</w:t>
            </w:r>
          </w:p>
        </w:tc>
      </w:tr>
      <w:tr>
        <w:trPr/>
        <w:tc>
          <w:tcPr>
            <w:tcW w:w="2000" w:type="dxa"/>
          </w:tcPr>
          <w:p>
            <w:pPr>
              <w:jc w:val="center"/>
            </w:pPr>
            <w:r>
              <w:rPr/>
              <w:t xml:space="preserve">KKOV</w:t>
            </w:r>
          </w:p>
        </w:tc>
        <w:tc>
          <w:tcPr>
            <w:tcW w:w="5000" w:type="dxa"/>
          </w:tcPr>
          <w:p>
            <w:pPr/>
            <w:r>
              <w:rPr/>
              <w:t xml:space="preserve">Bakalářský studijní program v oboru vojenská geodézie a kartografie</w:t>
            </w:r>
          </w:p>
        </w:tc>
        <w:tc>
          <w:tcPr>
            <w:tcW w:w="2000" w:type="dxa"/>
          </w:tcPr>
          <w:p>
            <w:pPr>
              <w:jc w:val="center"/>
            </w:pPr>
            <w:r>
              <w:rPr/>
              <w:t xml:space="preserve">9107R</w:t>
            </w:r>
          </w:p>
        </w:tc>
      </w:tr>
      <w:tr>
        <w:trPr/>
        <w:tc>
          <w:tcPr>
            <w:tcW w:w="2000" w:type="dxa"/>
          </w:tcPr>
          <w:p>
            <w:pPr>
              <w:jc w:val="center"/>
            </w:pPr>
            <w:r>
              <w:rPr/>
              <w:t xml:space="preserve">KKOV</w:t>
            </w:r>
          </w:p>
        </w:tc>
        <w:tc>
          <w:tcPr>
            <w:tcW w:w="5000" w:type="dxa"/>
          </w:tcPr>
          <w:p>
            <w:pPr/>
            <w:r>
              <w:rPr/>
              <w:t xml:space="preserve">Bakalářský studijní program v oboru teorie obrany státu</w:t>
            </w:r>
          </w:p>
        </w:tc>
        <w:tc>
          <w:tcPr>
            <w:tcW w:w="2000" w:type="dxa"/>
          </w:tcPr>
          <w:p>
            <w:pPr>
              <w:jc w:val="center"/>
            </w:pPr>
            <w:r>
              <w:rPr/>
              <w:t xml:space="preserve">9101R</w:t>
            </w:r>
          </w:p>
        </w:tc>
      </w:tr>
      <w:tr>
        <w:trPr/>
        <w:tc>
          <w:tcPr>
            <w:tcW w:w="2000" w:type="dxa"/>
          </w:tcPr>
          <w:p>
            <w:pPr>
              <w:jc w:val="center"/>
            </w:pPr>
            <w:r>
              <w:rPr/>
              <w:t xml:space="preserve">KKOV</w:t>
            </w:r>
          </w:p>
        </w:tc>
        <w:tc>
          <w:tcPr>
            <w:tcW w:w="5000" w:type="dxa"/>
          </w:tcPr>
          <w:p>
            <w:pPr/>
            <w:r>
              <w:rPr/>
              <w:t xml:space="preserve">Bakalářský studijní program v oboru letecká a raketová technika</w:t>
            </w:r>
          </w:p>
        </w:tc>
        <w:tc>
          <w:tcPr>
            <w:tcW w:w="2000" w:type="dxa"/>
          </w:tcPr>
          <w:p>
            <w:pPr>
              <w:jc w:val="center"/>
            </w:pPr>
            <w:r>
              <w:rPr/>
              <w:t xml:space="preserve">2306R</w:t>
            </w:r>
          </w:p>
        </w:tc>
      </w:tr>
      <w:tr>
        <w:trPr/>
        <w:tc>
          <w:tcPr>
            <w:tcW w:w="2000" w:type="dxa"/>
          </w:tcPr>
          <w:p>
            <w:pPr>
              <w:jc w:val="center"/>
            </w:pPr>
            <w:r>
              <w:rPr/>
              <w:t xml:space="preserve">RVP</w:t>
            </w:r>
          </w:p>
        </w:tc>
        <w:tc>
          <w:tcPr>
            <w:tcW w:w="5000" w:type="dxa"/>
          </w:tcPr>
          <w:p>
            <w:pPr/>
            <w:r>
              <w:rPr/>
              <w:t xml:space="preserve">Bezpečnostně právní činnost</w:t>
            </w:r>
          </w:p>
        </w:tc>
        <w:tc>
          <w:tcPr>
            <w:tcW w:w="2000" w:type="dxa"/>
          </w:tcPr>
          <w:p>
            <w:pPr>
              <w:jc w:val="center"/>
            </w:pPr>
            <w:r>
              <w:rPr/>
              <w:t xml:space="preserve">68-42-N/xx</w:t>
            </w:r>
          </w:p>
        </w:tc>
      </w:tr>
    </w:tbl>
    <w:p/>
    <w:p>
      <w:pPr>
        <w:pStyle w:val="Heading4"/>
      </w:pPr>
      <w:bookmarkStart w:id="10" w:name="_Toc10"/>
      <w:r>
        <w:t>Vhodnou školní přípravu poskytují také obory:</w:t>
      </w:r>
      <w:bookmarkEnd w:id="10"/>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Bakalářský studijní program</w:t>
            </w:r>
          </w:p>
        </w:tc>
        <w:tc>
          <w:tcPr>
            <w:tcW w:w="2000" w:type="dxa"/>
          </w:tcPr>
          <w:p>
            <w:pPr>
              <w:jc w:val="center"/>
            </w:pPr>
            <w:r>
              <w:rPr/>
              <w:t xml:space="preserve">xxxxR</w:t>
            </w:r>
          </w:p>
        </w:tc>
      </w:tr>
    </w:tbl>
    <w:p>
      <w:pPr>
        <w:pStyle w:val="Heading3"/>
      </w:pPr>
      <w:bookmarkStart w:id="11" w:name="_Toc11"/>
      <w:r>
        <w:t>Legislativní požadavky</w:t>
      </w:r>
      <w:bookmarkEnd w:id="11"/>
    </w:p>
    <w:p>
      <w:pPr>
        <w:numPr>
          <w:ilvl w:val="0"/>
          <w:numId w:val="5"/>
        </w:numPr>
      </w:pPr>
      <w:r>
        <w:rPr/>
        <w:t xml:space="preserve">doporučené - Řízení osobních automobilů - řidičský průkaz sk. B podle vyhlášky č. 31/2001 Sb., o řidičských průkazech a o registru řidičů</w:t>
      </w:r>
    </w:p>
    <w:p>
      <w:pPr>
        <w:numPr>
          <w:ilvl w:val="0"/>
          <w:numId w:val="5"/>
        </w:numPr>
      </w:pPr>
      <w:r>
        <w:rPr/>
        <w:t xml:space="preserve">doporučené - Držení, nošení a oprávněná použití zbraní a střeliva (zbrojní průkaz) - odborná způsobilost podle zákona č. 119/2002 Sb., o střelných zbraních a střelivu</w:t>
      </w:r>
    </w:p>
    <w:p>
      <w:pPr>
        <w:numPr>
          <w:ilvl w:val="0"/>
          <w:numId w:val="5"/>
        </w:numPr>
      </w:pPr>
      <w:r>
        <w:rPr/>
        <w:t xml:space="preserve">povinné - Vzdělávání a výcvik v rámci ozbrojených sil České republiky podle zákona č. 221/1999 Sb., o vojácích z povolání</w:t>
      </w:r>
    </w:p>
    <w:p>
      <w:pPr>
        <w:numPr>
          <w:ilvl w:val="0"/>
          <w:numId w:val="5"/>
        </w:numPr>
      </w:pPr>
      <w:r>
        <w:rPr/>
        <w:t xml:space="preserve">povinné - Příprava ozbrojených sil České republiky podle zákona č. 219/1999 Sb., o ozbrojených silách České republiky</w:t>
      </w:r>
    </w:p>
    <w:p>
      <w:pPr>
        <w:numPr>
          <w:ilvl w:val="0"/>
          <w:numId w:val="5"/>
        </w:numPr>
      </w:pPr>
      <w:r>
        <w:rPr/>
        <w:t xml:space="preserve">povinné - Odborná způsobilost podle vyhlášky č. 217/2010 Sb., o stanovení kvalifikačních předpokladů pro služební zařazení vojáků z povolání</w:t>
      </w:r>
    </w:p>
    <w:p/>
    <w:p/>
    <w:p>
      <w:pPr>
        <w:pStyle w:val="Heading2"/>
      </w:pPr>
      <w:bookmarkStart w:id="12" w:name="_Toc12"/>
      <w:r>
        <w:t>Kompetenční požadavky</w:t>
      </w:r>
      <w:bookmarkEnd w:id="12"/>
    </w:p>
    <w:p>
      <w:pPr>
        <w:pStyle w:val="Heading3"/>
      </w:pPr>
      <w:bookmarkStart w:id="13" w:name="_Toc13"/>
      <w:r>
        <w:t>Odborné dovednosti</w:t>
      </w:r>
      <w:bookmarkEnd w:id="13"/>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l11.C.2009</w:t>
            </w:r>
          </w:p>
        </w:tc>
        <w:tc>
          <w:tcPr>
            <w:tcW w:w="3000" w:type="dxa"/>
          </w:tcPr>
          <w:p>
            <w:pPr/>
            <w:r>
              <w:rPr/>
              <w:t xml:space="preserve">Metodické vedení výuky a výcviku vojáků</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l11.B.4002</w:t>
            </w:r>
          </w:p>
        </w:tc>
        <w:tc>
          <w:tcPr>
            <w:tcW w:w="3000" w:type="dxa"/>
          </w:tcPr>
          <w:p>
            <w:pPr/>
            <w:r>
              <w:rPr/>
              <w:t xml:space="preserve">Obsluha a údržba přiděleného zbraňového systému</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l11.B.4001</w:t>
            </w:r>
          </w:p>
        </w:tc>
        <w:tc>
          <w:tcPr>
            <w:tcW w:w="3000" w:type="dxa"/>
          </w:tcPr>
          <w:p>
            <w:pPr/>
            <w:r>
              <w:rPr/>
              <w:t xml:space="preserve">Obsluha a údržba přidělené zbraně</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l11.C.0001</w:t>
            </w:r>
          </w:p>
        </w:tc>
        <w:tc>
          <w:tcPr>
            <w:tcW w:w="3000" w:type="dxa"/>
          </w:tcPr>
          <w:p>
            <w:pPr/>
            <w:r>
              <w:rPr/>
              <w:t xml:space="preserve">Plnění úkolů v úkolových uskupeních, v bojových podmínkách a v zahraničních vojenských operacích</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l11.A.0007</w:t>
            </w:r>
          </w:p>
        </w:tc>
        <w:tc>
          <w:tcPr>
            <w:tcW w:w="3000" w:type="dxa"/>
          </w:tcPr>
          <w:p>
            <w:pPr/>
            <w:r>
              <w:rPr/>
              <w:t xml:space="preserve">Vedení boje se zbraní nebo zbraňovým systémem samostatně nebo v sestavě vojenské jednotky vyplývající z rozsahu příslušného služebního místa</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l11.D.0014</w:t>
            </w:r>
          </w:p>
        </w:tc>
        <w:tc>
          <w:tcPr>
            <w:tcW w:w="3000" w:type="dxa"/>
          </w:tcPr>
          <w:p>
            <w:pPr/>
            <w:r>
              <w:rPr/>
              <w:t xml:space="preserve">Plnění úkolů při vojenském výcviku, odborné přípravě a vzdělávání</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l11.A.0005</w:t>
            </w:r>
          </w:p>
        </w:tc>
        <w:tc>
          <w:tcPr>
            <w:tcW w:w="3000" w:type="dxa"/>
          </w:tcPr>
          <w:p>
            <w:pPr/>
            <w:r>
              <w:rPr/>
              <w:t xml:space="preserve">Obsluha a údržba vojenské výzbroje a výstroje</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l11.D.0025</w:t>
            </w:r>
          </w:p>
        </w:tc>
        <w:tc>
          <w:tcPr>
            <w:tcW w:w="3000" w:type="dxa"/>
          </w:tcPr>
          <w:p>
            <w:pPr/>
            <w:r>
              <w:rPr/>
              <w:t xml:space="preserve">Plnění úkolů, zajišťování a výkon odborných a odborně specializovaných činností vyplývajících z vojenské hodnosti kapitána, vojenské odbornosti a zařazení na služebním místě</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l11.D.0011</w:t>
            </w:r>
          </w:p>
        </w:tc>
        <w:tc>
          <w:tcPr>
            <w:tcW w:w="3000" w:type="dxa"/>
          </w:tcPr>
          <w:p>
            <w:pPr/>
            <w:r>
              <w:rPr/>
              <w:t xml:space="preserve">Organizace obsluhy, údržby a oprav speciálních vojenských technických prostředků a systémů</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l11.C.0007</w:t>
            </w:r>
          </w:p>
        </w:tc>
        <w:tc>
          <w:tcPr>
            <w:tcW w:w="3000" w:type="dxa"/>
          </w:tcPr>
          <w:p>
            <w:pPr/>
            <w:r>
              <w:rPr/>
              <w:t xml:space="preserve">Organizace vzdělávání, kariérové a odborné přípravy vojáků</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l11.D.0012</w:t>
            </w:r>
          </w:p>
        </w:tc>
        <w:tc>
          <w:tcPr>
            <w:tcW w:w="3000" w:type="dxa"/>
          </w:tcPr>
          <w:p>
            <w:pPr/>
            <w:r>
              <w:rPr/>
              <w:t xml:space="preserve">Zajišťování obsluhy a správy vojenských informačních systémů</w:t>
            </w:r>
          </w:p>
        </w:tc>
        <w:tc>
          <w:tcPr>
            <w:tcW w:w="2000" w:type="dxa"/>
          </w:tcPr>
          <w:p>
            <w:pPr>
              <w:jc w:val="center"/>
            </w:pPr>
            <w:r>
              <w:rPr/>
              <w:t xml:space="preserve">6</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4" w:name="_Toc14"/>
      <w:r>
        <w:t>Odborné znalosti</w:t>
      </w:r>
      <w:bookmarkEnd w:id="14"/>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l11._.0021</w:t>
            </w:r>
          </w:p>
        </w:tc>
        <w:tc>
          <w:tcPr>
            <w:tcW w:w="3000" w:type="dxa"/>
          </w:tcPr>
          <w:p>
            <w:pPr/>
            <w:r>
              <w:rPr/>
              <w:t xml:space="preserve">postupy při obsluze a údržbě zbraní nebo přidělených zbraňových systémů</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l11._.0033</w:t>
            </w:r>
          </w:p>
        </w:tc>
        <w:tc>
          <w:tcPr>
            <w:tcW w:w="3000" w:type="dxa"/>
          </w:tcPr>
          <w:p>
            <w:pPr/>
            <w:r>
              <w:rPr/>
              <w:t xml:space="preserve">postupy při plánování údržby a oprav speciálních vojenských a technických systémů</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l11._.0091</w:t>
            </w:r>
          </w:p>
        </w:tc>
        <w:tc>
          <w:tcPr>
            <w:tcW w:w="3000" w:type="dxa"/>
          </w:tcPr>
          <w:p>
            <w:pPr/>
            <w:r>
              <w:rPr/>
              <w:t xml:space="preserve">vojenská zpravodajská činnost</w:t>
            </w:r>
          </w:p>
        </w:tc>
        <w:tc>
          <w:tcPr>
            <w:tcW w:w="2000" w:type="dxa"/>
          </w:tcPr>
          <w:p>
            <w:pPr>
              <w:jc w:val="center"/>
            </w:pPr>
            <w:r>
              <w:rPr/>
              <w:t xml:space="preserve">6</w:t>
            </w:r>
          </w:p>
        </w:tc>
        <w:tc>
          <w:tcPr>
            <w:tcW w:w="2000" w:type="dxa"/>
          </w:tcPr>
          <w:p>
            <w:pPr>
              <w:jc w:val="center"/>
            </w:pPr>
            <w:r>
              <w:rPr/>
              <w:t xml:space="preserve">Výhodné</w:t>
            </w:r>
          </w:p>
        </w:tc>
      </w:tr>
      <w:tr>
        <w:trPr/>
        <w:tc>
          <w:tcPr>
            <w:tcW w:w="2000" w:type="dxa"/>
          </w:tcPr>
          <w:p>
            <w:pPr>
              <w:jc w:val="center"/>
            </w:pPr>
            <w:r>
              <w:rPr/>
              <w:t xml:space="preserve">l11._.0001</w:t>
            </w:r>
          </w:p>
        </w:tc>
        <w:tc>
          <w:tcPr>
            <w:tcW w:w="3000" w:type="dxa"/>
          </w:tcPr>
          <w:p>
            <w:pPr/>
            <w:r>
              <w:rPr/>
              <w:t xml:space="preserve">vojenská taktika a strategie vyplývající z rozsahu příslušného služebního místa</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k11._.0007</w:t>
            </w:r>
          </w:p>
        </w:tc>
        <w:tc>
          <w:tcPr>
            <w:tcW w:w="3000" w:type="dxa"/>
          </w:tcPr>
          <w:p>
            <w:pPr/>
            <w:r>
              <w:rPr/>
              <w:t xml:space="preserve">první pomoc</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l11._.0005</w:t>
            </w:r>
          </w:p>
        </w:tc>
        <w:tc>
          <w:tcPr>
            <w:tcW w:w="3000" w:type="dxa"/>
          </w:tcPr>
          <w:p>
            <w:pPr/>
            <w:r>
              <w:rPr/>
              <w:t xml:space="preserve">vnitřní předpisy ozbrojených sil ČR</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l24._.0018</w:t>
            </w:r>
          </w:p>
        </w:tc>
        <w:tc>
          <w:tcPr>
            <w:tcW w:w="3000" w:type="dxa"/>
          </w:tcPr>
          <w:p>
            <w:pPr/>
            <w:r>
              <w:rPr/>
              <w:t xml:space="preserve">bezpečnost práce a požární ochrana</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l11._.0014</w:t>
            </w:r>
          </w:p>
        </w:tc>
        <w:tc>
          <w:tcPr>
            <w:tcW w:w="3000" w:type="dxa"/>
          </w:tcPr>
          <w:p>
            <w:pPr/>
            <w:r>
              <w:rPr/>
              <w:t xml:space="preserve">postupy řízení a velení vyplývající ze služebního zařazení v ozbrojených silách ČR</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l11._.0019</w:t>
            </w:r>
          </w:p>
        </w:tc>
        <w:tc>
          <w:tcPr>
            <w:tcW w:w="3000" w:type="dxa"/>
          </w:tcPr>
          <w:p>
            <w:pPr/>
            <w:r>
              <w:rPr/>
              <w:t xml:space="preserve">metody vzdělávání, kariérového postupu a odborné přípravy v ozbrojených silách ČR</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l11._.0024</w:t>
            </w:r>
          </w:p>
        </w:tc>
        <w:tc>
          <w:tcPr>
            <w:tcW w:w="3000" w:type="dxa"/>
          </w:tcPr>
          <w:p>
            <w:pPr/>
            <w:r>
              <w:rPr/>
              <w:t xml:space="preserve">postupy při vykonávání náročných technických, specializovaných a odborných činností v ozbrojených silách ČR</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l11._.0026</w:t>
            </w:r>
          </w:p>
        </w:tc>
        <w:tc>
          <w:tcPr>
            <w:tcW w:w="3000" w:type="dxa"/>
          </w:tcPr>
          <w:p>
            <w:pPr/>
            <w:r>
              <w:rPr/>
              <w:t xml:space="preserve">činnosti kapitána ozbrojených sil ČR</w:t>
            </w:r>
          </w:p>
        </w:tc>
        <w:tc>
          <w:tcPr>
            <w:tcW w:w="2000" w:type="dxa"/>
          </w:tcPr>
          <w:p>
            <w:pPr>
              <w:jc w:val="center"/>
            </w:pPr>
            <w:r>
              <w:rPr/>
              <w:t xml:space="preserve">6</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5" w:name="_Toc15"/>
      <w:r>
        <w:t>Obecné dovednosti</w:t>
      </w:r>
      <w:bookmarkEnd w:id="15"/>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0-3</w:t>
            </w:r>
          </w:p>
        </w:tc>
      </w:tr>
      <w:tr>
        <w:trPr/>
        <w:tc>
          <w:tcPr>
            <w:tcW w:w="2000" w:type="dxa"/>
          </w:tcPr>
          <w:p>
            <w:pPr>
              <w:jc w:val="center"/>
            </w:pPr>
            <w:r>
              <w:rPr/>
              <w:t xml:space="preserve">b01</w:t>
            </w:r>
          </w:p>
        </w:tc>
        <w:tc>
          <w:tcPr>
            <w:tcW w:w="5000" w:type="dxa"/>
          </w:tcPr>
          <w:p>
            <w:pPr/>
            <w:r>
              <w:rPr/>
              <w:t xml:space="preserve">Počítačová způsobilost</w:t>
            </w:r>
          </w:p>
        </w:tc>
        <w:tc>
          <w:tcPr>
            <w:tcW w:w="2000" w:type="dxa"/>
          </w:tcPr>
          <w:p>
            <w:pPr>
              <w:jc w:val="center"/>
            </w:pPr>
            <w:r>
              <w:rPr/>
              <w:t xml:space="preserve">2</w:t>
            </w:r>
          </w:p>
        </w:tc>
      </w:tr>
      <w:tr>
        <w:trPr/>
        <w:tc>
          <w:tcPr>
            <w:tcW w:w="2000" w:type="dxa"/>
          </w:tcPr>
          <w:p>
            <w:pPr>
              <w:jc w:val="center"/>
            </w:pPr>
            <w:r>
              <w:rPr/>
              <w:t xml:space="preserve">b02</w:t>
            </w:r>
          </w:p>
        </w:tc>
        <w:tc>
          <w:tcPr>
            <w:tcW w:w="5000" w:type="dxa"/>
          </w:tcPr>
          <w:p>
            <w:pPr/>
            <w:r>
              <w:rPr/>
              <w:t xml:space="preserve">Způsobilost k řízení osobního automobilu</w:t>
            </w:r>
          </w:p>
        </w:tc>
        <w:tc>
          <w:tcPr>
            <w:tcW w:w="2000" w:type="dxa"/>
          </w:tcPr>
          <w:p>
            <w:pPr>
              <w:jc w:val="center"/>
            </w:pPr>
            <w:r>
              <w:rPr/>
              <w:t xml:space="preserve">2</w:t>
            </w:r>
          </w:p>
        </w:tc>
      </w:tr>
      <w:tr>
        <w:trPr/>
        <w:tc>
          <w:tcPr>
            <w:tcW w:w="2000" w:type="dxa"/>
          </w:tcPr>
          <w:p>
            <w:pPr>
              <w:jc w:val="center"/>
            </w:pPr>
            <w:r>
              <w:rPr/>
              <w:t xml:space="preserve">b03</w:t>
            </w:r>
          </w:p>
        </w:tc>
        <w:tc>
          <w:tcPr>
            <w:tcW w:w="5000" w:type="dxa"/>
          </w:tcPr>
          <w:p>
            <w:pPr/>
            <w:r>
              <w:rPr/>
              <w:t xml:space="preserve">Numerická způsobilost</w:t>
            </w:r>
          </w:p>
        </w:tc>
        <w:tc>
          <w:tcPr>
            <w:tcW w:w="2000" w:type="dxa"/>
          </w:tcPr>
          <w:p>
            <w:pPr>
              <w:jc w:val="center"/>
            </w:pPr>
            <w:r>
              <w:rPr/>
              <w:t xml:space="preserve">2</w:t>
            </w:r>
          </w:p>
        </w:tc>
      </w:tr>
      <w:tr>
        <w:trPr/>
        <w:tc>
          <w:tcPr>
            <w:tcW w:w="2000" w:type="dxa"/>
          </w:tcPr>
          <w:p>
            <w:pPr>
              <w:jc w:val="center"/>
            </w:pPr>
            <w:r>
              <w:rPr/>
              <w:t xml:space="preserve">b06</w:t>
            </w:r>
          </w:p>
        </w:tc>
        <w:tc>
          <w:tcPr>
            <w:tcW w:w="5000" w:type="dxa"/>
          </w:tcPr>
          <w:p>
            <w:pPr/>
            <w:r>
              <w:rPr/>
              <w:t xml:space="preserve">Jazyková způsobilost v češtině</w:t>
            </w:r>
          </w:p>
        </w:tc>
        <w:tc>
          <w:tcPr>
            <w:tcW w:w="2000" w:type="dxa"/>
          </w:tcPr>
          <w:p>
            <w:pPr>
              <w:jc w:val="center"/>
            </w:pPr>
            <w:r>
              <w:rPr/>
              <w:t xml:space="preserve">2</w:t>
            </w:r>
          </w:p>
        </w:tc>
      </w:tr>
      <w:tr>
        <w:trPr/>
        <w:tc>
          <w:tcPr>
            <w:tcW w:w="2000" w:type="dxa"/>
          </w:tcPr>
          <w:p>
            <w:pPr>
              <w:jc w:val="center"/>
            </w:pPr>
            <w:r>
              <w:rPr/>
              <w:t xml:space="preserve">b07</w:t>
            </w:r>
          </w:p>
        </w:tc>
        <w:tc>
          <w:tcPr>
            <w:tcW w:w="5000" w:type="dxa"/>
          </w:tcPr>
          <w:p>
            <w:pPr/>
            <w:r>
              <w:rPr/>
              <w:t xml:space="preserve">Jazyková způsobilost v angličtině</w:t>
            </w:r>
          </w:p>
        </w:tc>
        <w:tc>
          <w:tcPr>
            <w:tcW w:w="2000" w:type="dxa"/>
          </w:tcPr>
          <w:p>
            <w:pPr>
              <w:jc w:val="center"/>
            </w:pPr>
            <w:r>
              <w:rPr/>
              <w:t xml:space="preserve">2</w:t>
            </w:r>
          </w:p>
        </w:tc>
      </w:tr>
    </w:tbl>
    <w:p>
      <w:pPr/>
      <w:r>
        <w:rPr>
          <w:sz w:val="16"/>
          <w:szCs w:val="16"/>
          <w:i w:val="1"/>
          <w:iCs w:val="1"/>
        </w:rPr>
        <w:t xml:space="preserve">Popisy úrovní naleznete zde: https://nsp.cz/downloads/Priloha_c10_manualu.pdf</w:t>
      </w:r>
    </w:p>
    <w:p/>
    <w:p>
      <w:pPr>
        <w:pStyle w:val="Heading3"/>
      </w:pPr>
      <w:bookmarkStart w:id="16" w:name="_Toc16"/>
      <w:r>
        <w:t>Digitální kompetence</w:t>
      </w:r>
      <w:bookmarkEnd w:id="16"/>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1-4</w:t>
            </w:r>
          </w:p>
        </w:tc>
      </w:tr>
      <w:tr>
        <w:trPr/>
        <w:tc>
          <w:tcPr>
            <w:tcW w:w="2000" w:type="dxa"/>
          </w:tcPr>
          <w:p>
            <w:pPr>
              <w:jc w:val="center"/>
            </w:pPr>
            <w:r>
              <w:rPr/>
              <w:t xml:space="preserve">1.1</w:t>
            </w:r>
          </w:p>
        </w:tc>
        <w:tc>
          <w:tcPr>
            <w:tcW w:w="5000" w:type="dxa"/>
          </w:tcPr>
          <w:p>
            <w:pPr/>
            <w:r>
              <w:rPr/>
              <w:t xml:space="preserve">Prohlížení, vyhledávání a filtrování dat, informací a digitálního obsahu  </w:t>
            </w:r>
          </w:p>
        </w:tc>
        <w:tc>
          <w:tcPr>
            <w:tcW w:w="2000" w:type="dxa"/>
          </w:tcPr>
          <w:p>
            <w:pPr>
              <w:jc w:val="center"/>
            </w:pPr>
            <w:r>
              <w:rPr/>
              <w:t xml:space="preserve">3</w:t>
            </w:r>
          </w:p>
        </w:tc>
      </w:tr>
      <w:tr>
        <w:trPr/>
        <w:tc>
          <w:tcPr>
            <w:tcW w:w="2000" w:type="dxa"/>
          </w:tcPr>
          <w:p>
            <w:pPr>
              <w:jc w:val="center"/>
            </w:pPr>
            <w:r>
              <w:rPr/>
              <w:t xml:space="preserve">5.3</w:t>
            </w:r>
          </w:p>
        </w:tc>
        <w:tc>
          <w:tcPr>
            <w:tcW w:w="5000" w:type="dxa"/>
          </w:tcPr>
          <w:p>
            <w:pPr/>
            <w:r>
              <w:rPr/>
              <w:t xml:space="preserve">Kreativní využívání digitálních technologií  </w:t>
            </w:r>
          </w:p>
        </w:tc>
        <w:tc>
          <w:tcPr>
            <w:tcW w:w="2000" w:type="dxa"/>
          </w:tcPr>
          <w:p>
            <w:pPr>
              <w:jc w:val="center"/>
            </w:pPr>
            <w:r>
              <w:rPr/>
              <w:t xml:space="preserve">2</w:t>
            </w:r>
          </w:p>
        </w:tc>
      </w:tr>
      <w:tr>
        <w:trPr/>
        <w:tc>
          <w:tcPr>
            <w:tcW w:w="2000" w:type="dxa"/>
          </w:tcPr>
          <w:p>
            <w:pPr>
              <w:jc w:val="center"/>
            </w:pPr>
            <w:r>
              <w:rPr/>
              <w:t xml:space="preserve">5.2</w:t>
            </w:r>
          </w:p>
        </w:tc>
        <w:tc>
          <w:tcPr>
            <w:tcW w:w="5000" w:type="dxa"/>
          </w:tcPr>
          <w:p>
            <w:pPr/>
            <w:r>
              <w:rPr/>
              <w:t xml:space="preserve">Identifikace potřeb a výběr vhodných technologií  </w:t>
            </w:r>
          </w:p>
        </w:tc>
        <w:tc>
          <w:tcPr>
            <w:tcW w:w="2000" w:type="dxa"/>
          </w:tcPr>
          <w:p>
            <w:pPr>
              <w:jc w:val="center"/>
            </w:pPr>
            <w:r>
              <w:rPr/>
              <w:t xml:space="preserve">2</w:t>
            </w:r>
          </w:p>
        </w:tc>
      </w:tr>
      <w:tr>
        <w:trPr/>
        <w:tc>
          <w:tcPr>
            <w:tcW w:w="2000" w:type="dxa"/>
          </w:tcPr>
          <w:p>
            <w:pPr>
              <w:jc w:val="center"/>
            </w:pPr>
            <w:r>
              <w:rPr/>
              <w:t xml:space="preserve">5.1</w:t>
            </w:r>
          </w:p>
        </w:tc>
        <w:tc>
          <w:tcPr>
            <w:tcW w:w="5000" w:type="dxa"/>
          </w:tcPr>
          <w:p>
            <w:pPr/>
            <w:r>
              <w:rPr/>
              <w:t xml:space="preserve">Řešení technických problémů  </w:t>
            </w:r>
          </w:p>
        </w:tc>
        <w:tc>
          <w:tcPr>
            <w:tcW w:w="2000" w:type="dxa"/>
          </w:tcPr>
          <w:p>
            <w:pPr>
              <w:jc w:val="center"/>
            </w:pPr>
            <w:r>
              <w:rPr/>
              <w:t xml:space="preserve">2</w:t>
            </w:r>
          </w:p>
        </w:tc>
      </w:tr>
      <w:tr>
        <w:trPr/>
        <w:tc>
          <w:tcPr>
            <w:tcW w:w="2000" w:type="dxa"/>
          </w:tcPr>
          <w:p>
            <w:pPr>
              <w:jc w:val="center"/>
            </w:pPr>
            <w:r>
              <w:rPr/>
              <w:t xml:space="preserve">4.4</w:t>
            </w:r>
          </w:p>
        </w:tc>
        <w:tc>
          <w:tcPr>
            <w:tcW w:w="5000" w:type="dxa"/>
          </w:tcPr>
          <w:p>
            <w:pPr/>
            <w:r>
              <w:rPr/>
              <w:t xml:space="preserve">Ochrana životního prostředí  </w:t>
            </w:r>
          </w:p>
        </w:tc>
        <w:tc>
          <w:tcPr>
            <w:tcW w:w="2000" w:type="dxa"/>
          </w:tcPr>
          <w:p>
            <w:pPr>
              <w:jc w:val="center"/>
            </w:pPr>
            <w:r>
              <w:rPr/>
              <w:t xml:space="preserve">2</w:t>
            </w:r>
          </w:p>
        </w:tc>
      </w:tr>
      <w:tr>
        <w:trPr/>
        <w:tc>
          <w:tcPr>
            <w:tcW w:w="2000" w:type="dxa"/>
          </w:tcPr>
          <w:p>
            <w:pPr>
              <w:jc w:val="center"/>
            </w:pPr>
            <w:r>
              <w:rPr/>
              <w:t xml:space="preserve">4.3</w:t>
            </w:r>
          </w:p>
        </w:tc>
        <w:tc>
          <w:tcPr>
            <w:tcW w:w="5000" w:type="dxa"/>
          </w:tcPr>
          <w:p>
            <w:pPr/>
            <w:r>
              <w:rPr/>
              <w:t xml:space="preserve">Ochrana zdraví a duševní pohody  </w:t>
            </w:r>
          </w:p>
        </w:tc>
        <w:tc>
          <w:tcPr>
            <w:tcW w:w="2000" w:type="dxa"/>
          </w:tcPr>
          <w:p>
            <w:pPr>
              <w:jc w:val="center"/>
            </w:pPr>
            <w:r>
              <w:rPr/>
              <w:t xml:space="preserve">2</w:t>
            </w:r>
          </w:p>
        </w:tc>
      </w:tr>
      <w:tr>
        <w:trPr/>
        <w:tc>
          <w:tcPr>
            <w:tcW w:w="2000" w:type="dxa"/>
          </w:tcPr>
          <w:p>
            <w:pPr>
              <w:jc w:val="center"/>
            </w:pPr>
            <w:r>
              <w:rPr/>
              <w:t xml:space="preserve">4.2</w:t>
            </w:r>
          </w:p>
        </w:tc>
        <w:tc>
          <w:tcPr>
            <w:tcW w:w="5000" w:type="dxa"/>
          </w:tcPr>
          <w:p>
            <w:pPr/>
            <w:r>
              <w:rPr/>
              <w:t xml:space="preserve">Ochrana osobních dat a soukromí  </w:t>
            </w:r>
          </w:p>
        </w:tc>
        <w:tc>
          <w:tcPr>
            <w:tcW w:w="2000" w:type="dxa"/>
          </w:tcPr>
          <w:p>
            <w:pPr>
              <w:jc w:val="center"/>
            </w:pPr>
            <w:r>
              <w:rPr/>
              <w:t xml:space="preserve">2</w:t>
            </w:r>
          </w:p>
        </w:tc>
      </w:tr>
      <w:tr>
        <w:trPr/>
        <w:tc>
          <w:tcPr>
            <w:tcW w:w="2000" w:type="dxa"/>
          </w:tcPr>
          <w:p>
            <w:pPr>
              <w:jc w:val="center"/>
            </w:pPr>
            <w:r>
              <w:rPr/>
              <w:t xml:space="preserve">4.1</w:t>
            </w:r>
          </w:p>
        </w:tc>
        <w:tc>
          <w:tcPr>
            <w:tcW w:w="5000" w:type="dxa"/>
          </w:tcPr>
          <w:p>
            <w:pPr/>
            <w:r>
              <w:rPr/>
              <w:t xml:space="preserve">Ochrana zařízení  </w:t>
            </w:r>
          </w:p>
        </w:tc>
        <w:tc>
          <w:tcPr>
            <w:tcW w:w="2000" w:type="dxa"/>
          </w:tcPr>
          <w:p>
            <w:pPr>
              <w:jc w:val="center"/>
            </w:pPr>
            <w:r>
              <w:rPr/>
              <w:t xml:space="preserve">2</w:t>
            </w:r>
          </w:p>
        </w:tc>
      </w:tr>
      <w:tr>
        <w:trPr/>
        <w:tc>
          <w:tcPr>
            <w:tcW w:w="2000" w:type="dxa"/>
          </w:tcPr>
          <w:p>
            <w:pPr>
              <w:jc w:val="center"/>
            </w:pPr>
            <w:r>
              <w:rPr/>
              <w:t xml:space="preserve">3.3</w:t>
            </w:r>
          </w:p>
        </w:tc>
        <w:tc>
          <w:tcPr>
            <w:tcW w:w="5000" w:type="dxa"/>
          </w:tcPr>
          <w:p>
            <w:pPr/>
            <w:r>
              <w:rPr/>
              <w:t xml:space="preserve">Autorská práva a licence  </w:t>
            </w:r>
          </w:p>
        </w:tc>
        <w:tc>
          <w:tcPr>
            <w:tcW w:w="2000" w:type="dxa"/>
          </w:tcPr>
          <w:p>
            <w:pPr>
              <w:jc w:val="center"/>
            </w:pPr>
            <w:r>
              <w:rPr/>
              <w:t xml:space="preserve">2</w:t>
            </w:r>
          </w:p>
        </w:tc>
      </w:tr>
      <w:tr>
        <w:trPr/>
        <w:tc>
          <w:tcPr>
            <w:tcW w:w="2000" w:type="dxa"/>
          </w:tcPr>
          <w:p>
            <w:pPr>
              <w:jc w:val="center"/>
            </w:pPr>
            <w:r>
              <w:rPr/>
              <w:t xml:space="preserve">3.2</w:t>
            </w:r>
          </w:p>
        </w:tc>
        <w:tc>
          <w:tcPr>
            <w:tcW w:w="5000" w:type="dxa"/>
          </w:tcPr>
          <w:p>
            <w:pPr/>
            <w:r>
              <w:rPr/>
              <w:t xml:space="preserve">Integrace a přepracování digitálního obsahu  </w:t>
            </w:r>
          </w:p>
        </w:tc>
        <w:tc>
          <w:tcPr>
            <w:tcW w:w="2000" w:type="dxa"/>
          </w:tcPr>
          <w:p>
            <w:pPr>
              <w:jc w:val="center"/>
            </w:pPr>
            <w:r>
              <w:rPr/>
              <w:t xml:space="preserve">3</w:t>
            </w:r>
          </w:p>
        </w:tc>
      </w:tr>
      <w:tr>
        <w:trPr/>
        <w:tc>
          <w:tcPr>
            <w:tcW w:w="2000" w:type="dxa"/>
          </w:tcPr>
          <w:p>
            <w:pPr>
              <w:jc w:val="center"/>
            </w:pPr>
            <w:r>
              <w:rPr/>
              <w:t xml:space="preserve">3.1</w:t>
            </w:r>
          </w:p>
        </w:tc>
        <w:tc>
          <w:tcPr>
            <w:tcW w:w="5000" w:type="dxa"/>
          </w:tcPr>
          <w:p>
            <w:pPr/>
            <w:r>
              <w:rPr/>
              <w:t xml:space="preserve">Tvorba digitálního obsahu  </w:t>
            </w:r>
          </w:p>
        </w:tc>
        <w:tc>
          <w:tcPr>
            <w:tcW w:w="2000" w:type="dxa"/>
          </w:tcPr>
          <w:p>
            <w:pPr>
              <w:jc w:val="center"/>
            </w:pPr>
            <w:r>
              <w:rPr/>
              <w:t xml:space="preserve">2</w:t>
            </w:r>
          </w:p>
        </w:tc>
      </w:tr>
      <w:tr>
        <w:trPr/>
        <w:tc>
          <w:tcPr>
            <w:tcW w:w="2000" w:type="dxa"/>
          </w:tcPr>
          <w:p>
            <w:pPr>
              <w:jc w:val="center"/>
            </w:pPr>
            <w:r>
              <w:rPr/>
              <w:t xml:space="preserve">2.5</w:t>
            </w:r>
          </w:p>
        </w:tc>
        <w:tc>
          <w:tcPr>
            <w:tcW w:w="5000" w:type="dxa"/>
          </w:tcPr>
          <w:p>
            <w:pPr/>
            <w:r>
              <w:rPr/>
              <w:t xml:space="preserve">Netiketa  </w:t>
            </w:r>
          </w:p>
        </w:tc>
        <w:tc>
          <w:tcPr>
            <w:tcW w:w="2000" w:type="dxa"/>
          </w:tcPr>
          <w:p>
            <w:pPr>
              <w:jc w:val="center"/>
            </w:pPr>
            <w:r>
              <w:rPr/>
              <w:t xml:space="preserve">1</w:t>
            </w:r>
          </w:p>
        </w:tc>
      </w:tr>
      <w:tr>
        <w:trPr/>
        <w:tc>
          <w:tcPr>
            <w:tcW w:w="2000" w:type="dxa"/>
          </w:tcPr>
          <w:p>
            <w:pPr>
              <w:jc w:val="center"/>
            </w:pPr>
            <w:r>
              <w:rPr/>
              <w:t xml:space="preserve">2.4</w:t>
            </w:r>
          </w:p>
        </w:tc>
        <w:tc>
          <w:tcPr>
            <w:tcW w:w="5000" w:type="dxa"/>
          </w:tcPr>
          <w:p>
            <w:pPr/>
            <w:r>
              <w:rPr/>
              <w:t xml:space="preserve">Spolupráce prostřednictvím digitálních technologií  </w:t>
            </w:r>
          </w:p>
        </w:tc>
        <w:tc>
          <w:tcPr>
            <w:tcW w:w="2000" w:type="dxa"/>
          </w:tcPr>
          <w:p>
            <w:pPr>
              <w:jc w:val="center"/>
            </w:pPr>
            <w:r>
              <w:rPr/>
              <w:t xml:space="preserve">3</w:t>
            </w:r>
          </w:p>
        </w:tc>
      </w:tr>
      <w:tr>
        <w:trPr/>
        <w:tc>
          <w:tcPr>
            <w:tcW w:w="2000" w:type="dxa"/>
          </w:tcPr>
          <w:p>
            <w:pPr>
              <w:jc w:val="center"/>
            </w:pPr>
            <w:r>
              <w:rPr/>
              <w:t xml:space="preserve">2.2</w:t>
            </w:r>
          </w:p>
        </w:tc>
        <w:tc>
          <w:tcPr>
            <w:tcW w:w="5000" w:type="dxa"/>
          </w:tcPr>
          <w:p>
            <w:pPr/>
            <w:r>
              <w:rPr/>
              <w:t xml:space="preserve">Sdílení prostřednictvím digitálních technologií  </w:t>
            </w:r>
          </w:p>
        </w:tc>
        <w:tc>
          <w:tcPr>
            <w:tcW w:w="2000" w:type="dxa"/>
          </w:tcPr>
          <w:p>
            <w:pPr>
              <w:jc w:val="center"/>
            </w:pPr>
            <w:r>
              <w:rPr/>
              <w:t xml:space="preserve">3</w:t>
            </w:r>
          </w:p>
        </w:tc>
      </w:tr>
      <w:tr>
        <w:trPr/>
        <w:tc>
          <w:tcPr>
            <w:tcW w:w="2000" w:type="dxa"/>
          </w:tcPr>
          <w:p>
            <w:pPr>
              <w:jc w:val="center"/>
            </w:pPr>
            <w:r>
              <w:rPr/>
              <w:t xml:space="preserve">2.1</w:t>
            </w:r>
          </w:p>
        </w:tc>
        <w:tc>
          <w:tcPr>
            <w:tcW w:w="5000" w:type="dxa"/>
          </w:tcPr>
          <w:p>
            <w:pPr/>
            <w:r>
              <w:rPr/>
              <w:t xml:space="preserve">Interakce prostřednictvím digitálních technologií  </w:t>
            </w:r>
          </w:p>
        </w:tc>
        <w:tc>
          <w:tcPr>
            <w:tcW w:w="2000" w:type="dxa"/>
          </w:tcPr>
          <w:p>
            <w:pPr>
              <w:jc w:val="center"/>
            </w:pPr>
            <w:r>
              <w:rPr/>
              <w:t xml:space="preserve">3</w:t>
            </w:r>
          </w:p>
        </w:tc>
      </w:tr>
      <w:tr>
        <w:trPr/>
        <w:tc>
          <w:tcPr>
            <w:tcW w:w="2000" w:type="dxa"/>
          </w:tcPr>
          <w:p>
            <w:pPr>
              <w:jc w:val="center"/>
            </w:pPr>
            <w:r>
              <w:rPr/>
              <w:t xml:space="preserve">1.3</w:t>
            </w:r>
          </w:p>
        </w:tc>
        <w:tc>
          <w:tcPr>
            <w:tcW w:w="5000" w:type="dxa"/>
          </w:tcPr>
          <w:p>
            <w:pPr/>
            <w:r>
              <w:rPr/>
              <w:t xml:space="preserve">Správa dat, informací a digitálního obsahu  </w:t>
            </w:r>
          </w:p>
        </w:tc>
        <w:tc>
          <w:tcPr>
            <w:tcW w:w="2000" w:type="dxa"/>
          </w:tcPr>
          <w:p>
            <w:pPr>
              <w:jc w:val="center"/>
            </w:pPr>
            <w:r>
              <w:rPr/>
              <w:t xml:space="preserve">2</w:t>
            </w:r>
          </w:p>
        </w:tc>
      </w:tr>
      <w:tr>
        <w:trPr/>
        <w:tc>
          <w:tcPr>
            <w:tcW w:w="2000" w:type="dxa"/>
          </w:tcPr>
          <w:p>
            <w:pPr>
              <w:jc w:val="center"/>
            </w:pPr>
            <w:r>
              <w:rPr/>
              <w:t xml:space="preserve">1.2</w:t>
            </w:r>
          </w:p>
        </w:tc>
        <w:tc>
          <w:tcPr>
            <w:tcW w:w="5000" w:type="dxa"/>
          </w:tcPr>
          <w:p>
            <w:pPr/>
            <w:r>
              <w:rPr/>
              <w:t xml:space="preserve">Hodnocení dat, informací a digitálního obsahu  </w:t>
            </w:r>
          </w:p>
        </w:tc>
        <w:tc>
          <w:tcPr>
            <w:tcW w:w="2000" w:type="dxa"/>
          </w:tcPr>
          <w:p>
            <w:pPr>
              <w:jc w:val="center"/>
            </w:pPr>
            <w:r>
              <w:rPr/>
              <w:t xml:space="preserve">2</w:t>
            </w:r>
          </w:p>
        </w:tc>
      </w:tr>
      <w:tr>
        <w:trPr/>
        <w:tc>
          <w:tcPr>
            <w:tcW w:w="2000" w:type="dxa"/>
          </w:tcPr>
          <w:p>
            <w:pPr>
              <w:jc w:val="center"/>
            </w:pPr>
            <w:r>
              <w:rPr/>
              <w:t xml:space="preserve">5.4</w:t>
            </w:r>
          </w:p>
        </w:tc>
        <w:tc>
          <w:tcPr>
            <w:tcW w:w="5000" w:type="dxa"/>
          </w:tcPr>
          <w:p>
            <w:pPr/>
            <w:r>
              <w:rPr/>
              <w:t xml:space="preserve">Identifikace nedostatků v digitálních kompetencích  </w:t>
            </w:r>
          </w:p>
        </w:tc>
        <w:tc>
          <w:tcPr>
            <w:tcW w:w="2000" w:type="dxa"/>
          </w:tcPr>
          <w:p>
            <w:pPr>
              <w:jc w:val="center"/>
            </w:pPr>
            <w:r>
              <w:rPr/>
              <w:t xml:space="preserve">2</w:t>
            </w:r>
          </w:p>
        </w:tc>
      </w:tr>
    </w:tbl>
    <w:p>
      <w:pPr/>
      <w:r>
        <w:rPr>
          <w:sz w:val="16"/>
          <w:szCs w:val="16"/>
          <w:i w:val="1"/>
          <w:iCs w:val="1"/>
        </w:rPr>
        <w:t xml:space="preserve">Popisy úrovní naleznete zde: https://nsp.cz/downloads/Priloha_c15_manualu.pdf</w:t>
      </w:r>
    </w:p>
    <w:p/>
    <w:p>
      <w:pPr>
        <w:pStyle w:val="Heading3"/>
      </w:pPr>
      <w:bookmarkStart w:id="17" w:name="_Toc17"/>
      <w:r>
        <w:t>Měkké kompetence</w:t>
      </w:r>
      <w:bookmarkEnd w:id="17"/>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0-5</w:t>
            </w:r>
          </w:p>
        </w:tc>
      </w:tr>
      <w:tr>
        <w:trPr/>
        <w:tc>
          <w:tcPr>
            <w:tcW w:w="2000" w:type="dxa"/>
          </w:tcPr>
          <w:p>
            <w:pPr>
              <w:jc w:val="center"/>
            </w:pPr>
            <w:r>
              <w:rPr/>
              <w:t xml:space="preserve">2.1</w:t>
            </w:r>
          </w:p>
        </w:tc>
        <w:tc>
          <w:tcPr>
            <w:tcW w:w="5000" w:type="dxa"/>
          </w:tcPr>
          <w:p>
            <w:pPr/>
            <w:r>
              <w:rPr/>
              <w:t xml:space="preserve">Kompetence k efektivní komunikaci</w:t>
            </w:r>
          </w:p>
        </w:tc>
        <w:tc>
          <w:tcPr>
            <w:tcW w:w="2000" w:type="dxa"/>
          </w:tcPr>
          <w:p>
            <w:pPr>
              <w:jc w:val="center"/>
            </w:pPr>
            <w:r>
              <w:rPr/>
              <w:t xml:space="preserve">4</w:t>
            </w:r>
          </w:p>
        </w:tc>
      </w:tr>
      <w:tr>
        <w:trPr/>
        <w:tc>
          <w:tcPr>
            <w:tcW w:w="2000" w:type="dxa"/>
          </w:tcPr>
          <w:p>
            <w:pPr>
              <w:jc w:val="center"/>
            </w:pPr>
            <w:r>
              <w:rPr/>
              <w:t xml:space="preserve">4.4</w:t>
            </w:r>
          </w:p>
        </w:tc>
        <w:tc>
          <w:tcPr>
            <w:tcW w:w="5000" w:type="dxa"/>
          </w:tcPr>
          <w:p>
            <w:pPr/>
            <w:r>
              <w:rPr/>
              <w:t xml:space="preserve">Kompetence k řešení problémů</w:t>
            </w:r>
          </w:p>
        </w:tc>
        <w:tc>
          <w:tcPr>
            <w:tcW w:w="2000" w:type="dxa"/>
          </w:tcPr>
          <w:p>
            <w:pPr>
              <w:jc w:val="center"/>
            </w:pPr>
            <w:r>
              <w:rPr/>
              <w:t xml:space="preserve">4</w:t>
            </w:r>
          </w:p>
        </w:tc>
      </w:tr>
      <w:tr>
        <w:trPr/>
        <w:tc>
          <w:tcPr>
            <w:tcW w:w="2000" w:type="dxa"/>
          </w:tcPr>
          <w:p>
            <w:pPr>
              <w:jc w:val="center"/>
            </w:pPr>
            <w:r>
              <w:rPr/>
              <w:t xml:space="preserve">4.2</w:t>
            </w:r>
          </w:p>
        </w:tc>
        <w:tc>
          <w:tcPr>
            <w:tcW w:w="5000" w:type="dxa"/>
          </w:tcPr>
          <w:p>
            <w:pPr/>
            <w:r>
              <w:rPr/>
              <w:t xml:space="preserve">Kompetence k plánování a organizování práce</w:t>
            </w:r>
          </w:p>
        </w:tc>
        <w:tc>
          <w:tcPr>
            <w:tcW w:w="2000" w:type="dxa"/>
          </w:tcPr>
          <w:p>
            <w:pPr>
              <w:jc w:val="center"/>
            </w:pPr>
            <w:r>
              <w:rPr/>
              <w:t xml:space="preserve">3</w:t>
            </w:r>
          </w:p>
        </w:tc>
      </w:tr>
      <w:tr>
        <w:trPr/>
        <w:tc>
          <w:tcPr>
            <w:tcW w:w="2000" w:type="dxa"/>
          </w:tcPr>
          <w:p>
            <w:pPr>
              <w:jc w:val="center"/>
            </w:pPr>
            <w:r>
              <w:rPr/>
              <w:t xml:space="preserve">1.4</w:t>
            </w:r>
          </w:p>
        </w:tc>
        <w:tc>
          <w:tcPr>
            <w:tcW w:w="5000" w:type="dxa"/>
          </w:tcPr>
          <w:p>
            <w:pPr/>
            <w:r>
              <w:rPr/>
              <w:t xml:space="preserve">Kompetence ke zvládání stresu a zátěže</w:t>
            </w:r>
          </w:p>
        </w:tc>
        <w:tc>
          <w:tcPr>
            <w:tcW w:w="2000" w:type="dxa"/>
          </w:tcPr>
          <w:p>
            <w:pPr>
              <w:jc w:val="center"/>
            </w:pPr>
            <w:r>
              <w:rPr/>
              <w:t xml:space="preserve">3</w:t>
            </w:r>
          </w:p>
        </w:tc>
      </w:tr>
      <w:tr>
        <w:trPr/>
        <w:tc>
          <w:tcPr>
            <w:tcW w:w="2000" w:type="dxa"/>
          </w:tcPr>
          <w:p>
            <w:pPr>
              <w:jc w:val="center"/>
            </w:pPr>
            <w:r>
              <w:rPr/>
              <w:t xml:space="preserve">2.6</w:t>
            </w:r>
          </w:p>
        </w:tc>
        <w:tc>
          <w:tcPr>
            <w:tcW w:w="5000" w:type="dxa"/>
          </w:tcPr>
          <w:p>
            <w:pPr/>
            <w:r>
              <w:rPr/>
              <w:t xml:space="preserve">Kompetence k vedení lidí</w:t>
            </w:r>
          </w:p>
        </w:tc>
        <w:tc>
          <w:tcPr>
            <w:tcW w:w="2000" w:type="dxa"/>
          </w:tcPr>
          <w:p>
            <w:pPr>
              <w:jc w:val="center"/>
            </w:pPr>
            <w:r>
              <w:rPr/>
              <w:t xml:space="preserve">4</w:t>
            </w:r>
          </w:p>
        </w:tc>
      </w:tr>
    </w:tbl>
    <w:p>
      <w:pPr/>
      <w:r>
        <w:rPr>
          <w:sz w:val="16"/>
          <w:szCs w:val="16"/>
          <w:i w:val="1"/>
          <w:iCs w:val="1"/>
        </w:rPr>
        <w:t xml:space="preserve">Popisy úrovní naleznete zde: https://nsp.cz/downloads/Priloha_c9_manualu.pdf</w:t>
      </w:r>
    </w:p>
    <w:p/>
    <w:p>
      <w:pPr>
        <w:pStyle w:val="Heading2"/>
      </w:pPr>
      <w:bookmarkStart w:id="18" w:name="_Toc18"/>
      <w:r>
        <w:t>Zdravotní podmínky</w:t>
      </w:r>
      <w:bookmarkEnd w:id="18"/>
    </w:p>
    <w:p>
      <w:pPr/>
      <w:r>
        <w:rPr>
          <w:b w:val="1"/>
          <w:bCs w:val="1"/>
        </w:rPr>
        <w:t xml:space="preserve">Poznámka ke zdravotním podmínkám</w:t>
      </w:r>
    </w:p>
    <w:p>
      <w:pPr/>
      <w:r>
        <w:rPr/>
        <w:t xml:space="preserve">Zdravotní způsobilost podle vyhlášky č. 357/2016 Sb., o zdravotní způsobilosti k výkonu vojenské činné služby</w:t>
      </w:r>
    </w:p>
    <w:p>
      <w:pPr/>
      <w:r>
        <w:rPr>
          <w:sz w:val="16"/>
          <w:szCs w:val="16"/>
          <w:i w:val="1"/>
          <w:iCs w:val="1"/>
        </w:rPr>
        <w:t xml:space="preserve">Přesné posouzení zdravotního stavu s následným doporučením nebo nedoporučením výkonu této pozice je možné pouze po konzultaci s lékařem.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0F6F40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sz w:val="40"/>
      <w:szCs w:val="40"/>
      <w:b w:val="1"/>
      <w:bCs w:val="1"/>
    </w:rPr>
  </w:style>
  <w:style w:type="paragraph" w:styleId="Heading2">
    <w:link w:val="Heading2Char"/>
    <w:name w:val="heading 2"/>
    <w:basedOn w:val="Normal"/>
    <w:pPr>
      <w:spacing w:after="80"/>
    </w:pPr>
    <w:rPr>
      <w:sz w:val="28"/>
      <w:szCs w:val="28"/>
      <w:b w:val="1"/>
      <w:bCs w:val="1"/>
    </w:rPr>
  </w:style>
  <w:style w:type="paragraph" w:styleId="Heading3">
    <w:link w:val="Heading3Char"/>
    <w:name w:val="heading 3"/>
    <w:basedOn w:val="Normal"/>
    <w:pPr>
      <w:spacing w:after="60"/>
    </w:pPr>
    <w:rPr>
      <w:sz w:val="24"/>
      <w:szCs w:val="24"/>
      <w:b w:val="1"/>
      <w:bCs w:val="1"/>
    </w:rPr>
  </w:style>
  <w:style w:type="paragraph" w:styleId="Heading4">
    <w:link w:val="Heading4Char"/>
    <w:name w:val="heading 4"/>
    <w:basedOn w:val="Normal"/>
    <w:pPr>
      <w:spacing w:after="6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FDV</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NSP.CZ</dc:creator>
  <dc:title>Kapitán ozbrojených sil ČR</dc:title>
  <dc:description>Kapitán ozbrojených sil ČR vykonává službu podle potřeb České republiky, kvalifikačních požadavků, předpokladů a vojenské odbornosti, s požadavkem na odolnost vůči zvýšené fyzické a psychické zátěži. V rámci služby vykonává specializované, technické a odborné činnosti související s výkonem a plněním odborných úkolů v oblasti vzdělávání, výcviku a péče o vojáka, nebo s plánováním a prováděním údržby a oprav speciálních vojenských technických prostředků a systémů, nebo s obsluhou vojenských technických systémů, nebo s prováděním technického dozoru a velí vojenským organizačním formacím na úrovni baterie, kompletu, odřadu, prvku, roty, skupiny, směny, stanoviště, střediska, štábu nebo oddělení.</dc:description>
  <dc:subject/>
  <cp:keywords/>
  <cp:category>Povolání</cp:category>
  <cp:lastModifiedBy/>
  <dcterms:created xsi:type="dcterms:W3CDTF">2017-11-22T09:08:59+01:00</dcterms:created>
  <dcterms:modified xsi:type="dcterms:W3CDTF">2024-04-03T11:45:39+02:00</dcterms:modified>
</cp:coreProperties>
</file>

<file path=docProps/custom.xml><?xml version="1.0" encoding="utf-8"?>
<Properties xmlns="http://schemas.openxmlformats.org/officeDocument/2006/custom-properties" xmlns:vt="http://schemas.openxmlformats.org/officeDocument/2006/docPropsVTypes"/>
</file>