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Štábní praporčík ozbrojených sil ČR</w:t>
      </w:r>
      <w:bookmarkEnd w:id="1"/>
    </w:p>
    <w:p>
      <w:pPr/>
      <w:r>
        <w:rPr/>
        <w:t xml:space="preserve">Štábní 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péče o vojáka, nebo s organizací a řízením činností podřízených, nebo se zajištěním odborných agend v organizačních útvarech Ministerstva obrany nebo na pracovištích Armády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praporčík Ministerstva obrany, Vrchní praporčík, Vrchní specialista Ministerstva obrany,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Praporčíci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Praporčíci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vedení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činností souvisejících s péčí o vojáky a výcvikem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specializovaných činností vyplývajících z vojenské hodnosti štábního praporčíka,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štábní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štábního praporčíka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specializovaných a odborných činností v organizačních útvarech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AE53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Štábní praporčík ozbrojených sil ČR</dc:title>
  <dc:description>Štábní 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péče o vojáka, nebo s organizací a řízením činností podřízených, nebo se zajištěním odborných agend v organizačních útvarech Ministerstva obrany nebo na pracovištích Armády ČR.</dc:description>
  <dc:subject/>
  <cp:keywords/>
  <cp:category>Povolání</cp:category>
  <cp:lastModifiedBy/>
  <dcterms:created xsi:type="dcterms:W3CDTF">2017-11-22T09:16:44+01:00</dcterms:created>
  <dcterms:modified xsi:type="dcterms:W3CDTF">2020-01-29T15:41:11+01:00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