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Technik pro řízení kvality a hygieny potravin</w:t>
      </w:r>
      <w:bookmarkEnd w:id="1"/>
    </w:p>
    <w:p>
      <w:pPr/>
      <w:r>
        <w:rPr/>
        <w:t xml:space="preserve">Technik pro řízení kvality a hygieny potravin zajišťuje tvorbu, řízení a rozvoj  procesů systémů řízení kvality v potravinářské výrobě, zodpovídá za tvorbu interních směrnic a norem systému kvality a zajišťuje jejich dodržování.</w:t>
      </w:r>
    </w:p>
    <w:p/>
    <w:tbl>
      <w:tblGrid>
        <w:gridCol w:w="3000" w:type="dxa"/>
        <w:gridCol w:w="6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/>
            <w:r>
              <w:rPr>
                <w:b w:val="1"/>
                <w:bCs w:val="1"/>
              </w:rPr>
              <w:t xml:space="preserve">Odborný směr:</w:t>
            </w:r>
          </w:p>
        </w:tc>
        <w:tc>
          <w:tcPr>
            <w:tcW w:w="6000" w:type="dxa"/>
          </w:tcPr>
          <w:p>
            <w:pPr/>
            <w:r>
              <w:rPr/>
              <w:t xml:space="preserve">Potravinářství a krmivářství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Odborný podsměr:</w:t>
            </w:r>
          </w:p>
        </w:tc>
        <w:tc>
          <w:tcPr/>
          <w:p>
            <w:pPr/>
            <w:r>
              <w:rPr/>
              <w:t xml:space="preserve">nezařazeno do odborného podsměru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Kvalifikační úroveň:</w:t>
            </w:r>
          </w:p>
        </w:tc>
        <w:tc>
          <w:tcPr/>
          <w:p>
            <w:pPr/>
            <w:r>
              <w:rPr/>
              <w:t xml:space="preserve">Bakalářský studijní program; Vyšší odborné vzdělání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Alternativní názvy:</w:t>
            </w:r>
          </w:p>
        </w:tc>
        <w:tc>
          <w:tcPr/>
          <w:p>
            <w:pPr/>
            <w:r>
              <w:rPr/>
              <w:t xml:space="preserve">Quality Manager, Potravinářský technik pracovník řízení kvality, Quality Assurance, Manažer jakosti, Manažer kvality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Regulovaná jednotka práce:</w:t>
            </w:r>
          </w:p>
        </w:tc>
        <w:tc>
          <w:tcPr/>
          <w:p>
            <w:pPr/>
            <w:r>
              <w:rPr/>
              <w:t xml:space="preserve">ne</w:t>
            </w:r>
          </w:p>
        </w:tc>
      </w:tr>
    </w:tbl>
    <w:p/>
    <w:p>
      <w:pPr>
        <w:pStyle w:val="Heading2"/>
      </w:pPr>
      <w:bookmarkStart w:id="2" w:name="_Toc2"/>
      <w:r>
        <w:t>Pracovní činnosti</w:t>
      </w:r>
      <w:bookmarkEnd w:id="2"/>
    </w:p>
    <w:p>
      <w:pPr>
        <w:numPr>
          <w:ilvl w:val="0"/>
          <w:numId w:val="5"/>
        </w:numPr>
      </w:pPr>
      <w:r>
        <w:rPr/>
        <w:t xml:space="preserve">Vytváření,  udržování a zlepšování systému řízení kvality a bezpečnosti potravin  v souladu s dosažením stanovených cílů kvality v potravinářské výrobě.</w:t>
      </w:r>
    </w:p>
    <w:p>
      <w:pPr>
        <w:numPr>
          <w:ilvl w:val="0"/>
          <w:numId w:val="5"/>
        </w:numPr>
      </w:pPr>
      <w:r>
        <w:rPr/>
        <w:t xml:space="preserve">Zjišťování a vyhodnocování kvality vstupních surovin a materiálů, procesů a výstupních produktů.</w:t>
      </w:r>
    </w:p>
    <w:p>
      <w:pPr>
        <w:numPr>
          <w:ilvl w:val="0"/>
          <w:numId w:val="5"/>
        </w:numPr>
      </w:pPr>
      <w:r>
        <w:rPr/>
        <w:t xml:space="preserve">Zjišťování příčin nekvality, vyhodnocování ztrát z nekvality.</w:t>
      </w:r>
    </w:p>
    <w:p>
      <w:pPr>
        <w:numPr>
          <w:ilvl w:val="0"/>
          <w:numId w:val="5"/>
        </w:numPr>
      </w:pPr>
      <w:r>
        <w:rPr/>
        <w:t xml:space="preserve">Navrhování nápravných a preventivních opatření z hlediska kvality a bezpečnosti potravin.</w:t>
      </w:r>
    </w:p>
    <w:p>
      <w:pPr>
        <w:numPr>
          <w:ilvl w:val="0"/>
          <w:numId w:val="5"/>
        </w:numPr>
      </w:pPr>
      <w:r>
        <w:rPr/>
        <w:t xml:space="preserve">Stanovování způsobu dosahování žádoucí úrovně kvality a bezpečnosti potravin a snižování ztrát z důvodů nekvality.</w:t>
      </w:r>
    </w:p>
    <w:p>
      <w:pPr>
        <w:numPr>
          <w:ilvl w:val="0"/>
          <w:numId w:val="5"/>
        </w:numPr>
      </w:pPr>
      <w:r>
        <w:rPr/>
        <w:t xml:space="preserve">Řízení optimalizace procesů managementu kvality s využitím technik a nástrojů (neustálého) zlepšování.</w:t>
      </w:r>
    </w:p>
    <w:p>
      <w:pPr>
        <w:numPr>
          <w:ilvl w:val="0"/>
          <w:numId w:val="5"/>
        </w:numPr>
      </w:pPr>
      <w:r>
        <w:rPr/>
        <w:t xml:space="preserve">Tvorba interních směrnic a norem systému kvality a zajištění jejich dodržování.</w:t>
      </w:r>
    </w:p>
    <w:p>
      <w:pPr>
        <w:numPr>
          <w:ilvl w:val="0"/>
          <w:numId w:val="5"/>
        </w:numPr>
      </w:pPr>
      <w:r>
        <w:rPr/>
        <w:t xml:space="preserve">Spolupráce s auditory při externím auditu a koordinace osob a útvarů při poskytování součinnosti auditního týmu.</w:t>
      </w:r>
    </w:p>
    <w:p>
      <w:pPr>
        <w:numPr>
          <w:ilvl w:val="0"/>
          <w:numId w:val="5"/>
        </w:numPr>
      </w:pPr>
      <w:r>
        <w:rPr/>
        <w:t xml:space="preserve">Plánování a kontrola provádění pravidelných interních auditů dle požadavků norem kvality v potravinářské výrobě.</w:t>
      </w:r>
    </w:p>
    <w:p>
      <w:pPr>
        <w:numPr>
          <w:ilvl w:val="0"/>
          <w:numId w:val="5"/>
        </w:numPr>
      </w:pPr>
      <w:r>
        <w:rPr/>
        <w:t xml:space="preserve">Vyhodnocení interních auditů kvality, definování příčin neshod, stanovení nápravných a preventivních opatření, jejich implementace, sledování účinnosti.</w:t>
      </w:r>
    </w:p>
    <w:p>
      <w:pPr>
        <w:numPr>
          <w:ilvl w:val="0"/>
          <w:numId w:val="5"/>
        </w:numPr>
      </w:pPr>
      <w:r>
        <w:rPr/>
        <w:t xml:space="preserve">Zabezpečení požadované kvalitativní úrovně vstupů, procesů a výstupů v potravinářské výrobě.</w:t>
      </w:r>
    </w:p>
    <w:p>
      <w:pPr>
        <w:numPr>
          <w:ilvl w:val="0"/>
          <w:numId w:val="5"/>
        </w:numPr>
      </w:pPr>
      <w:r>
        <w:rPr/>
        <w:t xml:space="preserve">Šetření a analýza reklamací s cílem zvýšení kvality výrobků.</w:t>
      </w:r>
    </w:p>
    <w:p>
      <w:pPr>
        <w:numPr>
          <w:ilvl w:val="0"/>
          <w:numId w:val="5"/>
        </w:numPr>
      </w:pPr>
      <w:r>
        <w:rPr/>
        <w:t xml:space="preserve">Snižování, odstraňování a prevence nedostatků kvality potravinářských výrobků.</w:t>
      </w:r>
    </w:p>
    <w:p/>
    <w:p>
      <w:pPr>
        <w:pStyle w:val="Heading2"/>
      </w:pPr>
      <w:bookmarkStart w:id="3" w:name="_Toc3"/>
      <w:r>
        <w:t>CZ-ISCO</w:t>
      </w:r>
      <w:bookmarkEnd w:id="3"/>
    </w:p>
    <w:p>
      <w:pPr>
        <w:numPr>
          <w:ilvl w:val="0"/>
          <w:numId w:val="5"/>
        </w:numPr>
      </w:pPr>
      <w:r>
        <w:rPr/>
        <w:t xml:space="preserve">Chemičtí technici kontroly kvality, laboranti a pracovníci v příbuzných oborech</w:t>
      </w:r>
    </w:p>
    <w:p>
      <w:pPr>
        <w:numPr>
          <w:ilvl w:val="0"/>
          <w:numId w:val="5"/>
        </w:numPr>
      </w:pPr>
      <w:r>
        <w:rPr/>
        <w:t xml:space="preserve">Technici v chemickém inženýrství a příbuzných oborech</w:t>
      </w:r>
    </w:p>
    <w:p/>
    <w:p>
      <w:pPr>
        <w:pStyle w:val="Heading3"/>
      </w:pPr>
      <w:bookmarkStart w:id="4" w:name="_Toc4"/>
      <w:r>
        <w:t>Hrubé měsíční mzdy podle krajů v roce 2025</w:t>
      </w:r>
      <w:bookmarkEnd w:id="4"/>
    </w:p>
    <w:p>
      <w:pPr>
        <w:pStyle w:val="Heading4"/>
      </w:pPr>
      <w:bookmarkStart w:id="5" w:name="_Toc5"/>
      <w:r>
        <w:t>Technici v chemickém inženýrství a příbuzných oborech (CZ-ISCO 3116)</w:t>
      </w:r>
      <w:bookmarkEnd w:id="5"/>
    </w:p>
    <w:tbl>
      <w:tblGrid>
        <w:gridCol w:w="2400" w:type="dxa"/>
        <w:gridCol w:w="1100" w:type="dxa"/>
        <w:gridCol w:w="1100" w:type="dxa"/>
        <w:gridCol w:w="1100" w:type="dxa"/>
        <w:gridCol w:w="1100" w:type="dxa"/>
        <w:gridCol w:w="1100" w:type="dxa"/>
        <w:gridCol w:w="11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400" w:type="dxa"/>
          </w:tcPr>
          <w:p/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2400" w:type="dxa"/>
          </w:tcPr>
          <w:p>
            <w:pPr/>
            <w:r>
              <w:rPr>
                <w:b w:val="1"/>
                <w:bCs w:val="1"/>
              </w:rPr>
              <w:t xml:space="preserve">Kraj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Hlavní město Praha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34 324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51 576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80 470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Středočeský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36 037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55 338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82 214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Jihočeský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31 228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46 706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76 011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Plzeňský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38 071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54 194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77 013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Karlovarský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32 338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47 852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79 186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Ústecký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38 228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54 884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78 384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Liberecký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34 060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56 750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78 910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Královéhradecký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31 198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46 478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71 610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Pardubický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26 954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41 043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60 372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Kraj Vysočina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36 504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59 677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98 512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Jihomoravský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30 896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46 025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80 707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Olomoucký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32 868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45 284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77 355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Zlínský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32 085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52 786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87 494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Moravskoslezský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31 758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45 457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71 246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</w:tbl>
    <w:p/>
    <w:p>
      <w:pPr>
        <w:pStyle w:val="Heading3"/>
      </w:pPr>
      <w:bookmarkStart w:id="6" w:name="_Toc6"/>
      <w:r>
        <w:t>Hrubé měsíční mzdy v roce 2025 celkem</w:t>
      </w:r>
      <w:bookmarkEnd w:id="6"/>
    </w:p>
    <w:tbl>
      <w:tblGrid>
        <w:gridCol w:w="1000" w:type="dxa"/>
        <w:gridCol w:w="2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  <w:gridSpan w:val="2"/>
          </w:tcPr>
          <w:p/>
        </w:tc>
        <w:tc>
          <w:tcPr>
            <w:tcW w:w="6000" w:type="dxa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 za ČR celkem</w:t>
            </w:r>
          </w:p>
        </w:tc>
      </w:tr>
      <w:tr>
        <w:trPr/>
        <w:tc>
          <w:tcPr>
            <w:tcW w:w="1000" w:type="dxa"/>
          </w:tcPr>
          <w:p>
            <w:pPr/>
            <w:r>
              <w:rPr>
                <w:b w:val="1"/>
                <w:bCs w:val="1"/>
              </w:rPr>
              <w:t xml:space="preserve">CZ-ISCO</w:t>
            </w:r>
          </w:p>
        </w:tc>
        <w:tc>
          <w:tcPr>
            <w:tcW w:w="2000" w:type="dxa"/>
          </w:tcPr>
          <w:p/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3116</w:t>
            </w:r>
          </w:p>
        </w:tc>
        <w:tc>
          <w:tcPr>
            <w:tcW w:w="2000" w:type="dxa"/>
          </w:tcPr>
          <w:p>
            <w:pPr/>
            <w:r>
              <w:rPr/>
              <w:t xml:space="preserve">Technici v chemickém inženýrství a příbuzných oborech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41 927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49 429 Kč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31165</w:t>
            </w:r>
          </w:p>
        </w:tc>
        <w:tc>
          <w:tcPr>
            <w:tcW w:w="2000" w:type="dxa"/>
          </w:tcPr>
          <w:p>
            <w:pPr/>
            <w:r>
              <w:rPr/>
              <w:t xml:space="preserve">Chemičtí technici kontroly kvality, laboranti a pracovníci v příbuzných oborech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41 805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45 062 Kč</w:t>
            </w:r>
          </w:p>
        </w:tc>
      </w:tr>
    </w:tbl>
    <w:p/>
    <w:p>
      <w:pPr>
        <w:pStyle w:val="Heading2"/>
      </w:pPr>
      <w:bookmarkStart w:id="7" w:name="_Toc7"/>
      <w:r>
        <w:t>ESCO</w:t>
      </w:r>
      <w:bookmarkEnd w:id="7"/>
    </w:p>
    <w:tbl>
      <w:tblGrid>
        <w:gridCol w:w="3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 podskupiny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 podskupiny v ESCO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URL - podskupiny v ESCO</w:t>
            </w:r>
          </w:p>
        </w:tc>
      </w:tr>
      <w:tr>
        <w:trPr/>
        <w:tc>
          <w:tcPr>
            <w:tcW w:w="3000" w:type="dxa"/>
          </w:tcPr>
          <w:p>
            <w:pPr/>
            <w:r>
              <w:rPr/>
              <w:t xml:space="preserve">3116</w:t>
            </w:r>
          </w:p>
        </w:tc>
        <w:tc>
          <w:tcPr>
            <w:tcW w:w="3000" w:type="dxa"/>
          </w:tcPr>
          <w:p>
            <w:pPr/>
            <w:r>
              <w:rPr/>
              <w:t xml:space="preserve">Technici v chemickém inženýrství a příbuzných oborech</w:t>
            </w:r>
          </w:p>
        </w:tc>
        <w:tc>
          <w:tcPr>
            <w:tcW w:w="3000" w:type="dxa"/>
          </w:tcPr>
          <w:p>
            <w:pPr/>
            <w:r>
              <w:rPr/>
              <w:t xml:space="preserve">http://data.europa.eu/esco/isco/C3116</w:t>
            </w:r>
          </w:p>
        </w:tc>
      </w:tr>
    </w:tbl>
    <w:p/>
    <w:p/>
    <w:p/>
    <w:p>
      <w:pPr>
        <w:pStyle w:val="Heading2"/>
      </w:pPr>
      <w:bookmarkStart w:id="8" w:name="_Toc8"/>
      <w:r>
        <w:t>Pracovní podmínky</w:t>
      </w:r>
      <w:bookmarkEnd w:id="8"/>
    </w:p>
    <w:p>
      <w:pPr/>
      <w:r>
        <w:rPr/>
        <w:t xml:space="preserve">Rizikové faktory pracovních podmínek a vyskytující se druhy zátěže upravuje nařízení vlády č. 361/2007 Sb., kterým se stanoví podmínky ochrany zdraví při práci, zákon č. 258/2000 Sb., o ochraně veřejného zdraví a zákon č. 262/2006 Sb., zákoník práce. Vždy vyplývají z pracovních podmínek, které se vztahují ke konkrétnímu zaměstnavateli, tudíž se mohou u různých zaměstnavatelů lišit.</w:t>
      </w:r>
    </w:p>
    <w:p/>
    <w:p>
      <w:pPr/>
      <w:r>
        <w:rPr/>
        <w:t xml:space="preserve">Určení míry výskytu faktorů, které mohou ovlivnit zdraví při práci vychází z druhu práce vykonávané na pracovišti. Faktory se zařazují do čtyř kategorií dle míry zdravotního rizika a jeho vlivu na zdraví. O zařazení prací do třetí nebo čtvrté kategorie rozhoduje příslušný orgán ochrany veřejného zdraví.</w:t>
      </w:r>
    </w:p>
    <w:p/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1. Stupeň zátěže (minimální zdravotní riziko) - Faktor se při výkonu práce nevyskytuje nebo je zátěž faktorem minimální, vliv faktoru je ze zdravotního hlediska nevýznamný.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2. Stupeň zátěže (únosná míra zdravotního rizika) - Ze zdravotního hlediska je míra zátěže faktorem únosná, nepřekračuje limity stanovené předpisy, vliv faktoru je akceptovatelný pro zdravého člověka.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3. Stupeň zátěže (významná míra zdravotního rizika) - Úroveň zátěže překračuje stanovené limitní hodnoty expozice (zátěže), na pracovištích je nutná realizace náhradních technických a organizačních opatření, nelze vyloučit negativní vliv na zdraví pracovníků.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4. Stupeň zátěže (vysoká míra zdravotního rizika) - Úroveň zátěže vysoce překračuje stanovené limitní hodnoty expozice, na pracovištích musí být dodržován soubor preventivních opatření, častěji dochází k poškození zdraví.</w:t>
      </w:r>
    </w:p>
    <w:p/>
    <w:p/>
    <w:p>
      <w:pPr>
        <w:pStyle w:val="Heading2"/>
      </w:pPr>
      <w:bookmarkStart w:id="9" w:name="_Toc9"/>
      <w:r>
        <w:t>Kvalifikace k výkonu povolání</w:t>
      </w:r>
      <w:bookmarkEnd w:id="9"/>
    </w:p>
    <w:p>
      <w:pPr>
        <w:pStyle w:val="Heading3"/>
      </w:pPr>
      <w:bookmarkStart w:id="10" w:name="_Toc10"/>
      <w:r>
        <w:t>Školní vzdělání</w:t>
      </w:r>
      <w:bookmarkEnd w:id="10"/>
    </w:p>
    <w:p/>
    <w:p>
      <w:pPr>
        <w:pStyle w:val="Heading4"/>
      </w:pPr>
      <w:bookmarkStart w:id="11" w:name="_Toc11"/>
      <w:r>
        <w:t>Nejvhodnější školní přípravu poskytují obory:</w:t>
      </w:r>
      <w:bookmarkEnd w:id="11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Vyšší odborné vzdělání v oboru potravinářství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2941N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Bakalářský studijní program v oboru chemie a technologie potravin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2901R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Potravinářství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29-41-N/xx</w:t>
            </w:r>
          </w:p>
        </w:tc>
      </w:tr>
    </w:tbl>
    <w:p/>
    <w:p>
      <w:pPr>
        <w:pStyle w:val="Heading4"/>
      </w:pPr>
      <w:bookmarkStart w:id="12" w:name="_Toc12"/>
      <w:r>
        <w:t>Vhodnou školní přípravu poskytují také obory:</w:t>
      </w:r>
      <w:bookmarkEnd w:id="12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Bakalářský studijní program ve skupině oborů technická chemie a chemie silikátů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28xxR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Vyšší odborné vzdělání v oboru potravinářská technologie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2931N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Bakalářský studijní program ve skupině oborů chemické obory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14xxR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Vyšší odborné vzdělání v oboru průmyslová chemie a chemická technologie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2831N</w:t>
            </w:r>
          </w:p>
        </w:tc>
      </w:tr>
    </w:tbl>
    <w:p/>
    <w:p>
      <w:pPr>
        <w:pStyle w:val="Heading3"/>
      </w:pPr>
      <w:bookmarkStart w:id="13" w:name="_Toc13"/>
      <w:r>
        <w:t>Další vzdělání</w:t>
      </w:r>
      <w:bookmarkEnd w:id="13"/>
    </w:p>
    <w:p>
      <w:pPr>
        <w:pStyle w:val="Heading4"/>
      </w:pPr>
      <w:bookmarkStart w:id="14" w:name="_Toc14"/>
      <w:r>
        <w:t>Profesní kvalifikace</w:t>
      </w:r>
      <w:bookmarkEnd w:id="14"/>
    </w:p>
    <w:p>
      <w:pPr>
        <w:numPr>
          <w:ilvl w:val="0"/>
          <w:numId w:val="5"/>
        </w:numPr>
      </w:pPr>
      <w:r>
        <w:rPr/>
        <w:t xml:space="preserve">Technik/technička pro řízení kvality a hygieny v potravinářství (29-041-M)</w:t>
      </w:r>
    </w:p>
    <w:p/>
    <w:p/>
    <w:p>
      <w:pPr>
        <w:pStyle w:val="Heading2"/>
      </w:pPr>
      <w:bookmarkStart w:id="15" w:name="_Toc15"/>
      <w:r>
        <w:t>Kompetenční požadavky</w:t>
      </w:r>
      <w:bookmarkEnd w:id="15"/>
    </w:p>
    <w:p>
      <w:pPr>
        <w:pStyle w:val="Heading3"/>
      </w:pPr>
      <w:bookmarkStart w:id="16" w:name="_Toc16"/>
      <w:r>
        <w:t>Odborné dovednosti</w:t>
      </w:r>
      <w:bookmarkEnd w:id="16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e11.D.2520</w:t>
            </w:r>
          </w:p>
        </w:tc>
        <w:tc>
          <w:tcPr>
            <w:tcW w:w="3000" w:type="dxa"/>
          </w:tcPr>
          <w:p>
            <w:pPr/>
            <w:r>
              <w:rPr/>
              <w:t xml:space="preserve">Zpracování plánů řízení kvality nových výrobků a technologických procesů v potravinářské výrobě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e11.Z.2521</w:t>
            </w:r>
          </w:p>
        </w:tc>
        <w:tc>
          <w:tcPr>
            <w:tcW w:w="3000" w:type="dxa"/>
          </w:tcPr>
          <w:p>
            <w:pPr/>
            <w:r>
              <w:rPr/>
              <w:t xml:space="preserve">Implementace standardů v potravinářské výrobě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e11.Z.2540</w:t>
            </w:r>
          </w:p>
        </w:tc>
        <w:tc>
          <w:tcPr>
            <w:tcW w:w="3000" w:type="dxa"/>
          </w:tcPr>
          <w:p>
            <w:pPr/>
            <w:r>
              <w:rPr/>
              <w:t xml:space="preserve">Koordinace řízení kvality, normalizace a zkušebnictví v potravinářské výrobě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e11.D.2540</w:t>
            </w:r>
          </w:p>
        </w:tc>
        <w:tc>
          <w:tcPr>
            <w:tcW w:w="3000" w:type="dxa"/>
          </w:tcPr>
          <w:p>
            <w:pPr/>
            <w:r>
              <w:rPr/>
              <w:t xml:space="preserve">Hodnocení kvality a přejímacích podmínek v potravinářství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i54.Z.2236</w:t>
            </w:r>
          </w:p>
        </w:tc>
        <w:tc>
          <w:tcPr>
            <w:tcW w:w="3000" w:type="dxa"/>
          </w:tcPr>
          <w:p>
            <w:pPr/>
            <w:r>
              <w:rPr/>
              <w:t xml:space="preserve">Stanovování a optimalizace procesů řízení kvality v organizaci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e11.D.6430</w:t>
            </w:r>
          </w:p>
        </w:tc>
        <w:tc>
          <w:tcPr>
            <w:tcW w:w="3000" w:type="dxa"/>
          </w:tcPr>
          <w:p>
            <w:pPr/>
            <w:r>
              <w:rPr/>
              <w:t xml:space="preserve">Vyhodnocování systémů řízení kvality v organizaci potravinářské výroby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e11.Z.2530</w:t>
            </w:r>
          </w:p>
        </w:tc>
        <w:tc>
          <w:tcPr>
            <w:tcW w:w="3000" w:type="dxa"/>
          </w:tcPr>
          <w:p>
            <w:pPr/>
            <w:r>
              <w:rPr/>
              <w:t xml:space="preserve">Metodické řízení vstupní, výstupní a mezioperační kontroly v potravinářské výrobě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e11.D.6140</w:t>
            </w:r>
          </w:p>
        </w:tc>
        <w:tc>
          <w:tcPr>
            <w:tcW w:w="3000" w:type="dxa"/>
          </w:tcPr>
          <w:p>
            <w:pPr/>
            <w:r>
              <w:rPr/>
              <w:t xml:space="preserve">Zjišťování příčin snížené kvality potravinářských výrobků a navrhování opatření k dosažení žádoucí kvality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i54.Z.2124</w:t>
            </w:r>
          </w:p>
        </w:tc>
        <w:tc>
          <w:tcPr>
            <w:tcW w:w="3000" w:type="dxa"/>
          </w:tcPr>
          <w:p>
            <w:pPr/>
            <w:r>
              <w:rPr/>
              <w:t xml:space="preserve">Řízení procesu budování, udržování a rozvoje systému kvality organizace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i51.Z.2041</w:t>
            </w:r>
          </w:p>
        </w:tc>
        <w:tc>
          <w:tcPr>
            <w:tcW w:w="3000" w:type="dxa"/>
          </w:tcPr>
          <w:p>
            <w:pPr/>
            <w:r>
              <w:rPr/>
              <w:t xml:space="preserve">Organizace systému managementu kvality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i54.D.2237</w:t>
            </w:r>
          </w:p>
        </w:tc>
        <w:tc>
          <w:tcPr>
            <w:tcW w:w="3000" w:type="dxa"/>
          </w:tcPr>
          <w:p>
            <w:pPr/>
            <w:r>
              <w:rPr/>
              <w:t xml:space="preserve">Aplikace nástrojů managementu kvality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e11.D.6130</w:t>
            </w:r>
          </w:p>
        </w:tc>
        <w:tc>
          <w:tcPr>
            <w:tcW w:w="3000" w:type="dxa"/>
          </w:tcPr>
          <w:p>
            <w:pPr/>
            <w:r>
              <w:rPr/>
              <w:t xml:space="preserve">Zpracování technickoekonomických studií, rozborů a prognóz jakosti v potravinářské výrobě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i54.D.2232</w:t>
            </w:r>
          </w:p>
        </w:tc>
        <w:tc>
          <w:tcPr>
            <w:tcW w:w="3000" w:type="dxa"/>
          </w:tcPr>
          <w:p>
            <w:pPr/>
            <w:r>
              <w:rPr/>
              <w:t xml:space="preserve">Zpracovávání interních metodik, směrnic a norem jakosti a zajišťování jejich dodržování v organizaci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e11.Z.2780</w:t>
            </w:r>
          </w:p>
        </w:tc>
        <w:tc>
          <w:tcPr>
            <w:tcW w:w="3000" w:type="dxa"/>
          </w:tcPr>
          <w:p>
            <w:pPr/>
            <w:r>
              <w:rPr/>
              <w:t xml:space="preserve">Koordinace prací na řešení výzkumných a vývojových úkolů v oblasti výroby potravin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h43.D.2012</w:t>
            </w:r>
          </w:p>
        </w:tc>
        <w:tc>
          <w:tcPr>
            <w:tcW w:w="3000" w:type="dxa"/>
          </w:tcPr>
          <w:p>
            <w:pPr/>
            <w:r>
              <w:rPr/>
              <w:t xml:space="preserve">Dodržení sanitačních a hygienických předpisů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7" w:name="_Toc17"/>
      <w:r>
        <w:t>Odborné znalosti</w:t>
      </w:r>
      <w:bookmarkEnd w:id="17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i54._.0023</w:t>
            </w:r>
          </w:p>
        </w:tc>
        <w:tc>
          <w:tcPr>
            <w:tcW w:w="3000" w:type="dxa"/>
          </w:tcPr>
          <w:p>
            <w:pPr/>
            <w:r>
              <w:rPr/>
              <w:t xml:space="preserve">management kvality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e11._.0061</w:t>
            </w:r>
          </w:p>
        </w:tc>
        <w:tc>
          <w:tcPr>
            <w:tcW w:w="3000" w:type="dxa"/>
          </w:tcPr>
          <w:p>
            <w:pPr/>
            <w:r>
              <w:rPr/>
              <w:t xml:space="preserve">systémy a standardy kvality v potravinářství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i54._.0021</w:t>
            </w:r>
          </w:p>
        </w:tc>
        <w:tc>
          <w:tcPr>
            <w:tcW w:w="3000" w:type="dxa"/>
          </w:tcPr>
          <w:p>
            <w:pPr/>
            <w:r>
              <w:rPr/>
              <w:t xml:space="preserve">standardy pro řízení kvality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e11._.0091</w:t>
            </w:r>
          </w:p>
        </w:tc>
        <w:tc>
          <w:tcPr>
            <w:tcW w:w="3000" w:type="dxa"/>
          </w:tcPr>
          <w:p>
            <w:pPr/>
            <w:r>
              <w:rPr/>
              <w:t xml:space="preserve">zásady správné hygienické a výrobní praxe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e11._.0006</w:t>
            </w:r>
          </w:p>
        </w:tc>
        <w:tc>
          <w:tcPr>
            <w:tcW w:w="3000" w:type="dxa"/>
          </w:tcPr>
          <w:p>
            <w:pPr/>
            <w:r>
              <w:rPr/>
              <w:t xml:space="preserve">řízení alergenů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e11._.0095</w:t>
            </w:r>
          </w:p>
        </w:tc>
        <w:tc>
          <w:tcPr>
            <w:tcW w:w="3000" w:type="dxa"/>
          </w:tcPr>
          <w:p>
            <w:pPr/>
            <w:r>
              <w:rPr/>
              <w:t xml:space="preserve">legislativa související s výrobou potravin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e11._.0092</w:t>
            </w:r>
          </w:p>
        </w:tc>
        <w:tc>
          <w:tcPr>
            <w:tcW w:w="3000" w:type="dxa"/>
          </w:tcPr>
          <w:p>
            <w:pPr/>
            <w:r>
              <w:rPr/>
              <w:t xml:space="preserve">hygiena potravin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e11._.0004</w:t>
            </w:r>
          </w:p>
        </w:tc>
        <w:tc>
          <w:tcPr>
            <w:tcW w:w="3000" w:type="dxa"/>
          </w:tcPr>
          <w:p>
            <w:pPr/>
            <w:r>
              <w:rPr/>
              <w:t xml:space="preserve">sanitační chemie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e11._.0003</w:t>
            </w:r>
          </w:p>
        </w:tc>
        <w:tc>
          <w:tcPr>
            <w:tcW w:w="3000" w:type="dxa"/>
          </w:tcPr>
          <w:p>
            <w:pPr/>
            <w:r>
              <w:rPr/>
              <w:t xml:space="preserve">potravinářská chemie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i51._.0029</w:t>
            </w:r>
          </w:p>
        </w:tc>
        <w:tc>
          <w:tcPr>
            <w:tcW w:w="3000" w:type="dxa"/>
          </w:tcPr>
          <w:p>
            <w:pPr/>
            <w:r>
              <w:rPr/>
              <w:t xml:space="preserve">integrované systémy řízení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i51._.0025</w:t>
            </w:r>
          </w:p>
        </w:tc>
        <w:tc>
          <w:tcPr>
            <w:tcW w:w="3000" w:type="dxa"/>
          </w:tcPr>
          <w:p>
            <w:pPr/>
            <w:r>
              <w:rPr/>
              <w:t xml:space="preserve">krizový management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i31._.0099</w:t>
            </w:r>
          </w:p>
        </w:tc>
        <w:tc>
          <w:tcPr>
            <w:tcW w:w="3000" w:type="dxa"/>
          </w:tcPr>
          <w:p>
            <w:pPr/>
            <w:r>
              <w:rPr/>
              <w:t xml:space="preserve">vnitřní organizační směrnice (normativní instrukce, vnitřní předpisy, interní normy)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e11._.0001</w:t>
            </w:r>
          </w:p>
        </w:tc>
        <w:tc>
          <w:tcPr>
            <w:tcW w:w="3000" w:type="dxa"/>
          </w:tcPr>
          <w:p>
            <w:pPr/>
            <w:r>
              <w:rPr/>
              <w:t xml:space="preserve">potravinářské suroviny, jejich skladování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e11._.0002</w:t>
            </w:r>
          </w:p>
        </w:tc>
        <w:tc>
          <w:tcPr>
            <w:tcW w:w="3000" w:type="dxa"/>
          </w:tcPr>
          <w:p>
            <w:pPr/>
            <w:r>
              <w:rPr/>
              <w:t xml:space="preserve">základní druhy strojů a zařízení v potravinářské výrobě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i51._.0044</w:t>
            </w:r>
          </w:p>
        </w:tc>
        <w:tc>
          <w:tcPr>
            <w:tcW w:w="3000" w:type="dxa"/>
          </w:tcPr>
          <w:p>
            <w:pPr/>
            <w:r>
              <w:rPr/>
              <w:t xml:space="preserve">management rizik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l24._.0018</w:t>
            </w:r>
          </w:p>
        </w:tc>
        <w:tc>
          <w:tcPr>
            <w:tcW w:w="3000" w:type="dxa"/>
          </w:tcPr>
          <w:p>
            <w:pPr/>
            <w:r>
              <w:rPr/>
              <w:t xml:space="preserve">bezpečnost práce a požární ochrana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8" w:name="_Toc18"/>
      <w:r>
        <w:t>Digitální kompetence</w:t>
      </w:r>
      <w:bookmarkEnd w:id="18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Prohlížení, vyhledávání a filtrování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5.3</w:t>
            </w:r>
          </w:p>
        </w:tc>
        <w:tc>
          <w:tcPr>
            <w:tcW w:w="5000" w:type="dxa"/>
          </w:tcPr>
          <w:p>
            <w:pPr/>
            <w:r>
              <w:rPr/>
              <w:t xml:space="preserve">Kreativní využívání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5.2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potřeb a výběr vhodných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5.1</w:t>
            </w:r>
          </w:p>
        </w:tc>
        <w:tc>
          <w:tcPr>
            <w:tcW w:w="5000" w:type="dxa"/>
          </w:tcPr>
          <w:p>
            <w:pPr/>
            <w:r>
              <w:rPr/>
              <w:t xml:space="preserve">Řešení technických problémů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životního prostředí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4.3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zdraví a duševní pohody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osobních dat a soukromí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zařízení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Autorská práva a licence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3.2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Integrace a přepracování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3.1</w:t>
            </w:r>
          </w:p>
        </w:tc>
        <w:tc>
          <w:tcPr>
            <w:tcW w:w="5000" w:type="dxa"/>
          </w:tcPr>
          <w:p>
            <w:pPr/>
            <w:r>
              <w:rPr/>
              <w:t xml:space="preserve">Tvorba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2.5</w:t>
            </w:r>
          </w:p>
        </w:tc>
        <w:tc>
          <w:tcPr>
            <w:tcW w:w="5000" w:type="dxa"/>
          </w:tcPr>
          <w:p>
            <w:pPr/>
            <w:r>
              <w:rPr/>
              <w:t xml:space="preserve">Netiketa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Spolupráce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Sdílení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Interakce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Správa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Hodnocení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5.4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nedostatků v digitálních kompetencích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https://nsp.cz/downloads/Priloha_c15_manualu.pdf</w:t>
      </w:r>
    </w:p>
    <w:p/>
    <w:p>
      <w:pPr>
        <w:pStyle w:val="Heading3"/>
      </w:pPr>
      <w:bookmarkStart w:id="19" w:name="_Toc19"/>
      <w:r>
        <w:t>Měkké kompetence</w:t>
      </w:r>
      <w:bookmarkEnd w:id="19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0-5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kooperaci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4.5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samostatnosti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plánování a organizování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celoživotnímu vzdělávání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ovlivňování a rozvíjení ostatních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https://nsp.cz/downloads/Priloha_c9_manualu.pdf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5">
    <w:nsid w:val="418707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120"/>
    </w:pPr>
    <w:rPr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spacing w:after="80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spacing w:after="60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spacing w:after="6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FDV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NSP.CZ</dc:creator>
  <dc:title>Technik pro řízení kvality a hygieny potravin</dc:title>
  <dc:description>Technik pro řízení kvality a hygieny potravin zajišťuje tvorbu, řízení a rozvoj  procesů systémů řízení kvality v potravinářské výrobě, zodpovídá za tvorbu interních směrnic a norem systému kvality a zajišťuje jejich dodržování.</dc:description>
  <dc:subject/>
  <cp:keywords/>
  <cp:category>Povolání</cp:category>
  <cp:lastModifiedBy/>
  <dcterms:created xsi:type="dcterms:W3CDTF">2017-11-22T09:08:16+01:00</dcterms:created>
  <dcterms:modified xsi:type="dcterms:W3CDTF">2020-05-11T15:51:43+02:00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