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ochranné služby</w:t>
      </w:r>
      <w:bookmarkEnd w:id="1"/>
    </w:p>
    <w:p>
      <w:pPr/>
      <w:r>
        <w:rPr/>
        <w:t xml:space="preserve">Vrchní inspektor ochranné služby vykonává specializované odborné činnosti včetně stanovování postupu při zajišťování bezpečnosti chráněných osob nebo stanovování postupu při ochraně objektů zvláštního významu.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ochranné služby, Příslušník ochranné služby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postupu při zajišťování bezpečnosti chráněných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bezpečnostních opatřeních ve standardních i nestandardních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ostrahy objektů, skupin osobní ochrany, přepravy peněz, cenin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automobilu při osobní ochraně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defenzivní řízení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AC97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ochranné služby</dc:title>
  <dc:description>Vrchní inspektor ochranné služby vykonává specializované odborné činnosti včetně stanovování postupu při zajišťování bezpečnosti chráněných osob nebo stanovování postupu při ochraně objektů zvláštního významu.</dc:description>
  <dc:subject/>
  <cp:keywords/>
  <cp:category>Specializace</cp:category>
  <cp:lastModifiedBy/>
  <dcterms:created xsi:type="dcterms:W3CDTF">2017-11-22T09:35:34+01:00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