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zásahové jednotky</w:t>
      </w:r>
      <w:bookmarkEnd w:id="1"/>
    </w:p>
    <w:p>
      <w:pPr/>
      <w:r>
        <w:rPr/>
        <w:t xml:space="preserve">Inspektor zásahové jednotky provádí základní činnosti v zásahové jednotce v útvaru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zásahové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základních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Ozbrojený doprovod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598A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zásahové jednotky</dc:title>
  <dc:description>Inspektor zásahové jednotky provádí základní činnosti v zásahové jednotce v útvaru s územně vymezenou působností vyššího stupně.</dc:description>
  <dc:subject/>
  <cp:keywords/>
  <cp:category>Specializace</cp:category>
  <cp:lastModifiedBy/>
  <dcterms:created xsi:type="dcterms:W3CDTF">2017-11-22T09:14:00+01:00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