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pořádkové policie</w:t>
      </w:r>
      <w:bookmarkEnd w:id="1"/>
    </w:p>
    <w:p>
      <w:pPr/>
      <w:r>
        <w:rPr/>
        <w:t xml:space="preserve">Komisař služby pořádkové policie komplexně koordinuje a řídí činnosti policie na úseku trestního řízení a výkonu služby u organizačních článků pořádkové policie v rámci útvarů policie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pořádkové policie, Příslušník služby pořádkové policie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dopravních inspektorátů, obvodních a místních oddělení policie a dalších útvarů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D378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pořádkové policie</dc:title>
  <dc:description>Komisař služby pořádkové policie komplexně koordinuje a řídí činnosti policie na úseku trestního řízení a výkonu služby u organizačních článků pořádkové policie v rámci útvarů policie s územně vymezenou působností.</dc:description>
  <dc:subject/>
  <cp:keywords/>
  <cp:category>Specializace</cp:category>
  <cp:lastModifiedBy/>
  <dcterms:created xsi:type="dcterms:W3CDTF">2017-11-22T09:08:24+01:00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