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cizinecké policie</w:t>
      </w:r>
      <w:bookmarkEnd w:id="1"/>
    </w:p>
    <w:p>
      <w:pPr/>
      <w:r>
        <w:rPr/>
        <w:t xml:space="preserve">Rada služby cizinecké policie koordinuje a usměrňuje výkon komplexu policejních činností v rámci Ředitelství služby cizinecké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cizinecké policie, Příslušník služby cizinecké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24AA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cizinecké policie</dc:title>
  <dc:description>Rada služby cizinecké policie koordinuje a usměrňuje výkon komplexu policejních činností v rámci Ředitelství služby cizinecké policie.</dc:description>
  <dc:subject/>
  <cp:keywords/>
  <cp:category>Specializace</cp:category>
  <cp:lastModifiedBy/>
  <dcterms:created xsi:type="dcterms:W3CDTF">2017-11-22T09:09:56+01:00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