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Kráječ kožešinových a usňových dílců</w:t>
      </w:r>
      <w:bookmarkEnd w:id="1"/>
    </w:p>
    <w:p>
      <w:pPr/>
      <w:r>
        <w:rPr/>
        <w:t xml:space="preserve">Kráječ kožešinových a usňových dílců vykonává odborné práce při zhotovování a opravách kožešinových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Vykrajovač kožešinových a usňových dílců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připravení kožešin, usní a dalších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Propočítávání potřebného množství kožešin pro výrobek.</w:t>
      </w:r>
    </w:p>
    <w:p>
      <w:pPr>
        <w:numPr>
          <w:ilvl w:val="0"/>
          <w:numId w:val="5"/>
        </w:numPr>
      </w:pPr>
      <w:r>
        <w:rPr/>
        <w:t xml:space="preserve">Rozdělování a třídění usní a kožešin podle kvality a barvy do výrobních svazků a vyspravení vad.</w:t>
      </w:r>
    </w:p>
    <w:p>
      <w:pPr>
        <w:numPr>
          <w:ilvl w:val="0"/>
          <w:numId w:val="5"/>
        </w:numPr>
      </w:pPr>
      <w:r>
        <w:rPr/>
        <w:t xml:space="preserve">Krájení, napínání kožešin pro jednotlivé výrobky.</w:t>
      </w:r>
    </w:p>
    <w:p>
      <w:pPr>
        <w:numPr>
          <w:ilvl w:val="0"/>
          <w:numId w:val="5"/>
        </w:numPr>
      </w:pPr>
      <w:r>
        <w:rPr/>
        <w:t xml:space="preserve">Přibarvování srsti a podbarvování jednotlivých kožešin nebo kožešinových výrobků.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Kožešníci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kožešník, kožešnické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Kráječ/kráječka kožešinových a usňových dílců (32-032-H)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Krájení, napínání a sesazování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kožešnické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kožešin a kožešinových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8F8A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Kráječ kožešinových a usňových dílců</dc:title>
  <dc:description>Kráječ kožešinových a usňových dílců vykonává odborné práce při zhotovování a opravách kožešinových výrobků.</dc:description>
  <dc:subject/>
  <cp:keywords/>
  <cp:category>Specializace</cp:category>
  <cp:lastModifiedBy/>
  <dcterms:created xsi:type="dcterms:W3CDTF">2017-11-22T09:24:25+01:00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