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pro povrchové úpravy materiálů</w:t>
      </w:r>
      <w:bookmarkEnd w:id="1"/>
    </w:p>
    <w:p>
      <w:pPr/>
      <w:r>
        <w:rPr/>
        <w:t xml:space="preserve">Chemický technik pro povrchové úpravy materiálů určuje technologické postupy a zajišťuje technologickou přípravu, průběh a kontrolu procesů povrchové úpravy materiálů podle rámcových pokynů nebo standardních postupů.</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nezařazeno do odborného podsměru</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Technolog pro povrchové úpravy materiálů</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Stanovení technologických postupů pro požadovanou povrchovou úpravu daného materiálu.</w:t>
      </w:r>
    </w:p>
    <w:p>
      <w:pPr>
        <w:numPr>
          <w:ilvl w:val="0"/>
          <w:numId w:val="5"/>
        </w:numPr>
      </w:pPr>
      <w:r>
        <w:rPr/>
        <w:t xml:space="preserve">Vypracování technické dokumentace k provedení požadované povrchové úpravy u konkrétních výrobků.</w:t>
      </w:r>
    </w:p>
    <w:p>
      <w:pPr>
        <w:numPr>
          <w:ilvl w:val="0"/>
          <w:numId w:val="5"/>
        </w:numPr>
      </w:pPr>
      <w:r>
        <w:rPr/>
        <w:t xml:space="preserve">Stanovení vhodného výrobního a kontrolního zařízení.</w:t>
      </w:r>
    </w:p>
    <w:p>
      <w:pPr>
        <w:numPr>
          <w:ilvl w:val="0"/>
          <w:numId w:val="5"/>
        </w:numPr>
      </w:pPr>
      <w:r>
        <w:rPr/>
        <w:t xml:space="preserve">Technická příprava výroby v souladu s požadavky zákazníka, vnitřními předpisy, všeobecnými a zákaznickými normami.</w:t>
      </w:r>
    </w:p>
    <w:p>
      <w:pPr>
        <w:numPr>
          <w:ilvl w:val="0"/>
          <w:numId w:val="5"/>
        </w:numPr>
      </w:pPr>
      <w:r>
        <w:rPr/>
        <w:t xml:space="preserve">Řízení technických a kontrolních postupů povrchové úpravy materiálů.</w:t>
      </w:r>
    </w:p>
    <w:p>
      <w:pPr>
        <w:numPr>
          <w:ilvl w:val="0"/>
          <w:numId w:val="5"/>
        </w:numPr>
      </w:pPr>
      <w:r>
        <w:rPr/>
        <w:t xml:space="preserve">Vedení příslušné technické dokumentace.</w:t>
      </w:r>
    </w:p>
    <w:p>
      <w:pPr>
        <w:numPr>
          <w:ilvl w:val="0"/>
          <w:numId w:val="5"/>
        </w:numPr>
      </w:pPr>
      <w:r>
        <w:rPr/>
        <w:t xml:space="preserve">Zvyšování jakosti výrobků a efektivnosti výroby.</w:t>
      </w:r>
    </w:p>
    <w:p/>
    <w:p>
      <w:pPr>
        <w:pStyle w:val="Heading2"/>
      </w:pPr>
      <w:bookmarkStart w:id="3" w:name="_Toc3"/>
      <w:r>
        <w:t>CZ-ISCO</w:t>
      </w:r>
      <w:bookmarkEnd w:id="3"/>
    </w:p>
    <w:p>
      <w:pPr>
        <w:numPr>
          <w:ilvl w:val="0"/>
          <w:numId w:val="5"/>
        </w:numPr>
      </w:pPr>
      <w:r>
        <w:rPr/>
        <w:t xml:space="preserve">Technici v oblasti chemie (kromě chemického inženýrství)</w:t>
      </w:r>
    </w:p>
    <w:p>
      <w:pPr>
        <w:numPr>
          <w:ilvl w:val="0"/>
          <w:numId w:val="5"/>
        </w:numPr>
      </w:pPr>
      <w:r>
        <w:rPr/>
        <w:t xml:space="preserve">Technici v chemických a fyzikálních vědách (kromě chemického inženýrství)</w:t>
      </w:r>
    </w:p>
    <w:p/>
    <w:p>
      <w:pPr>
        <w:pStyle w:val="Heading3"/>
      </w:pPr>
      <w:bookmarkStart w:id="4" w:name="_Toc4"/>
      <w:r>
        <w:t>Hrubé měsíční mzdy podle krajů v roce 2025</w:t>
      </w:r>
      <w:bookmarkEnd w:id="4"/>
    </w:p>
    <w:p>
      <w:pPr>
        <w:pStyle w:val="Heading4"/>
      </w:pPr>
      <w:bookmarkStart w:id="5" w:name="_Toc5"/>
      <w:r>
        <w:t>Technici v chemických a fyzikálních vědách (kromě chemického inženýrství) (CZ-ISCO 3111)</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32 090 Kč</w:t>
            </w:r>
          </w:p>
        </w:tc>
        <w:tc>
          <w:tcPr>
            <w:tcW w:w="1000" w:type="dxa"/>
          </w:tcPr>
          <w:p>
            <w:pPr>
              <w:jc w:val="center"/>
            </w:pPr>
            <w:r>
              <w:rPr/>
              <w:t xml:space="preserve">49 534 Kč</w:t>
            </w:r>
          </w:p>
        </w:tc>
        <w:tc>
          <w:tcPr>
            <w:tcW w:w="1000" w:type="dxa"/>
          </w:tcPr>
          <w:p>
            <w:pPr>
              <w:jc w:val="center"/>
            </w:pPr>
            <w:r>
              <w:rPr>
                <w:sz w:val="16"/>
                <w:szCs w:val="16"/>
              </w:rPr>
              <w:t xml:space="preserve">102 021 Kč</w:t>
            </w:r>
          </w:p>
        </w:tc>
        <w:tc>
          <w:tcPr>
            <w:tcW w:w="1000" w:type="dxa"/>
          </w:tcPr>
          <w:p/>
        </w:tc>
        <w:tc>
          <w:tcPr>
            <w:tcW w:w="1000" w:type="dxa"/>
          </w:tcPr>
          <w:p/>
        </w:tc>
        <w:tc>
          <w:tcPr>
            <w:tcW w:w="1000" w:type="dxa"/>
          </w:tcPr>
          <w:p/>
        </w:tc>
      </w:tr>
      <w:tr>
        <w:trPr/>
        <w:tc>
          <w:tcPr>
            <w:tcW w:w="2000" w:type="dxa"/>
          </w:tcPr>
          <w:p>
            <w:pPr/>
            <w:r>
              <w:rPr/>
              <w:t xml:space="preserve">Liberecký kraj</w:t>
            </w:r>
          </w:p>
        </w:tc>
        <w:tc>
          <w:tcPr>
            <w:tcW w:w="1000" w:type="dxa"/>
          </w:tcPr>
          <w:p>
            <w:pPr>
              <w:jc w:val="center"/>
            </w:pPr>
            <w:r>
              <w:rPr/>
              <w:t xml:space="preserve">41 856 Kč</w:t>
            </w:r>
          </w:p>
        </w:tc>
        <w:tc>
          <w:tcPr>
            <w:tcW w:w="1000" w:type="dxa"/>
          </w:tcPr>
          <w:p>
            <w:pPr>
              <w:jc w:val="center"/>
            </w:pPr>
            <w:r>
              <w:rPr/>
              <w:t xml:space="preserve">57 653 Kč</w:t>
            </w:r>
          </w:p>
        </w:tc>
        <w:tc>
          <w:tcPr>
            <w:tcW w:w="1000" w:type="dxa"/>
          </w:tcPr>
          <w:p>
            <w:pPr>
              <w:jc w:val="center"/>
            </w:pPr>
            <w:r>
              <w:rPr/>
              <w:t xml:space="preserve">82 397 Kč</w:t>
            </w:r>
          </w:p>
        </w:tc>
        <w:tc>
          <w:tcPr>
            <w:tcW w:w="1000" w:type="dxa"/>
          </w:tcPr>
          <w:p/>
        </w:tc>
        <w:tc>
          <w:tcPr>
            <w:tcW w:w="1000" w:type="dxa"/>
          </w:tcPr>
          <w:p/>
        </w:tc>
        <w:tc>
          <w:tcPr>
            <w:tcW w:w="1000" w:type="dxa"/>
          </w:tcPr>
          <w:p/>
        </w:tc>
      </w:tr>
      <w:tr>
        <w:trPr/>
        <w:tc>
          <w:tcPr>
            <w:tcW w:w="2000" w:type="dxa"/>
          </w:tcPr>
          <w:p>
            <w:pPr/>
            <w:r>
              <w:rPr/>
              <w:t xml:space="preserve">Královéhradecký kraj</w:t>
            </w:r>
          </w:p>
        </w:tc>
        <w:tc>
          <w:tcPr>
            <w:tcW w:w="1000" w:type="dxa"/>
          </w:tcPr>
          <w:p>
            <w:pPr>
              <w:jc w:val="center"/>
            </w:pPr>
            <w:r>
              <w:rPr/>
              <w:t xml:space="preserve">26 872 Kč</w:t>
            </w:r>
          </w:p>
        </w:tc>
        <w:tc>
          <w:tcPr>
            <w:tcW w:w="1000" w:type="dxa"/>
          </w:tcPr>
          <w:p>
            <w:pPr>
              <w:jc w:val="center"/>
            </w:pPr>
            <w:r>
              <w:rPr/>
              <w:t xml:space="preserve">48 951 Kč</w:t>
            </w:r>
          </w:p>
        </w:tc>
        <w:tc>
          <w:tcPr>
            <w:tcW w:w="1000" w:type="dxa"/>
          </w:tcPr>
          <w:p>
            <w:pPr>
              <w:jc w:val="center"/>
            </w:pPr>
            <w:r>
              <w:rPr/>
              <w:t xml:space="preserve">70 966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32 218 Kč</w:t>
            </w:r>
          </w:p>
        </w:tc>
        <w:tc>
          <w:tcPr>
            <w:tcW w:w="1000" w:type="dxa"/>
          </w:tcPr>
          <w:p>
            <w:pPr>
              <w:jc w:val="center"/>
            </w:pPr>
            <w:r>
              <w:rPr/>
              <w:t xml:space="preserve">51 486 Kč</w:t>
            </w:r>
          </w:p>
        </w:tc>
        <w:tc>
          <w:tcPr>
            <w:tcW w:w="1000" w:type="dxa"/>
          </w:tcPr>
          <w:p>
            <w:pPr>
              <w:jc w:val="center"/>
            </w:pPr>
            <w:r>
              <w:rPr/>
              <w:t xml:space="preserve">70 703 Kč</w:t>
            </w:r>
          </w:p>
        </w:tc>
        <w:tc>
          <w:tcPr>
            <w:tcW w:w="1000" w:type="dxa"/>
          </w:tcPr>
          <w:p/>
        </w:tc>
        <w:tc>
          <w:tcPr>
            <w:tcW w:w="1000" w:type="dxa"/>
          </w:tcPr>
          <w:p/>
        </w:tc>
        <w:tc>
          <w:tcPr>
            <w:tcW w:w="1000" w:type="dxa"/>
          </w:tcPr>
          <w:p/>
        </w:tc>
      </w:tr>
      <w:tr>
        <w:trPr/>
        <w:tc>
          <w:tcPr>
            <w:tcW w:w="2000" w:type="dxa"/>
          </w:tcPr>
          <w:p>
            <w:pPr/>
            <w:r>
              <w:rPr/>
              <w:t xml:space="preserve">Zlínský kraj</w:t>
            </w:r>
          </w:p>
        </w:tc>
        <w:tc>
          <w:tcPr>
            <w:tcW w:w="1000" w:type="dxa"/>
          </w:tcPr>
          <w:p>
            <w:pPr>
              <w:jc w:val="center"/>
            </w:pPr>
            <w:r>
              <w:rPr/>
              <w:t xml:space="preserve">32 022 Kč</w:t>
            </w:r>
          </w:p>
        </w:tc>
        <w:tc>
          <w:tcPr>
            <w:tcW w:w="1000" w:type="dxa"/>
          </w:tcPr>
          <w:p>
            <w:pPr>
              <w:jc w:val="center"/>
            </w:pPr>
            <w:r>
              <w:rPr/>
              <w:t xml:space="preserve">50 260 Kč</w:t>
            </w:r>
          </w:p>
        </w:tc>
        <w:tc>
          <w:tcPr>
            <w:tcW w:w="1000" w:type="dxa"/>
          </w:tcPr>
          <w:p>
            <w:pPr>
              <w:jc w:val="center"/>
            </w:pPr>
            <w:r>
              <w:rPr/>
              <w:t xml:space="preserve">71 656 Kč</w:t>
            </w:r>
          </w:p>
        </w:tc>
        <w:tc>
          <w:tcPr>
            <w:tcW w:w="1000" w:type="dxa"/>
          </w:tcPr>
          <w:p/>
        </w:tc>
        <w:tc>
          <w:tcPr>
            <w:tcW w:w="1000" w:type="dxa"/>
          </w:tcPr>
          <w:p/>
        </w:tc>
        <w:tc>
          <w:tcPr>
            <w:tcW w:w="1000" w:type="dxa"/>
          </w:tcP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3111</w:t>
            </w:r>
          </w:p>
        </w:tc>
        <w:tc>
          <w:tcPr>
            <w:tcW w:w="2000" w:type="dxa"/>
          </w:tcPr>
          <w:p>
            <w:pPr/>
            <w:r>
              <w:rPr/>
              <w:t xml:space="preserve">Technici v chemických a fyzikálních vědách (kromě chemického inženýrství)</w:t>
            </w:r>
          </w:p>
        </w:tc>
        <w:tc>
          <w:tcPr>
            <w:tcW w:w="1000" w:type="dxa"/>
          </w:tcPr>
          <w:p>
            <w:pPr>
              <w:jc w:val="center"/>
            </w:pPr>
            <w:r>
              <w:rPr/>
              <w:t xml:space="preserve">45 213 Kč</w:t>
            </w:r>
          </w:p>
        </w:tc>
        <w:tc>
          <w:tcPr>
            <w:tcW w:w="1000" w:type="dxa"/>
          </w:tcPr>
          <w:p>
            <w:pPr>
              <w:jc w:val="center"/>
            </w:pPr>
            <w:r>
              <w:rPr/>
              <w:t xml:space="preserve">47 472 Kč</w:t>
            </w:r>
          </w:p>
        </w:tc>
      </w:tr>
      <w:tr>
        <w:trPr/>
        <w:tc>
          <w:tcPr>
            <w:tcW w:w="1000" w:type="dxa"/>
          </w:tcPr>
          <w:p>
            <w:pPr>
              <w:jc w:val="center"/>
            </w:pPr>
            <w:r>
              <w:rPr/>
              <w:t xml:space="preserve">31111</w:t>
            </w:r>
          </w:p>
        </w:tc>
        <w:tc>
          <w:tcPr>
            <w:tcW w:w="2000" w:type="dxa"/>
          </w:tcPr>
          <w:p>
            <w:pPr/>
            <w:r>
              <w:rPr/>
              <w:t xml:space="preserve">Technici v oblasti chemie (kromě chemického inženýrství)</w:t>
            </w:r>
          </w:p>
        </w:tc>
        <w:tc>
          <w:tcPr>
            <w:tcW w:w="1000" w:type="dxa"/>
          </w:tcPr>
          <w:p>
            <w:pPr>
              <w:jc w:val="center"/>
            </w:pPr>
            <w:r>
              <w:rPr/>
              <w:t xml:space="preserve">-</w:t>
            </w:r>
          </w:p>
        </w:tc>
        <w:tc>
          <w:tcPr>
            <w:tcW w:w="1000" w:type="dxa"/>
          </w:tcPr>
          <w:p>
            <w:pPr>
              <w:jc w:val="center"/>
            </w:pPr>
            <w:r>
              <w:rPr/>
              <w:t xml:space="preserve">37 292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3111</w:t>
            </w:r>
          </w:p>
        </w:tc>
        <w:tc>
          <w:tcPr>
            <w:tcW w:w="3000" w:type="dxa"/>
          </w:tcPr>
          <w:p>
            <w:pPr/>
            <w:r>
              <w:rPr/>
              <w:t xml:space="preserve">Technici v chemických a fyzikálních vědách (kromě chemického inženýrství)</w:t>
            </w:r>
          </w:p>
        </w:tc>
        <w:tc>
          <w:tcPr>
            <w:tcW w:w="3000" w:type="dxa"/>
          </w:tcPr>
          <w:p>
            <w:pPr/>
            <w:r>
              <w:rPr/>
              <w:t xml:space="preserve">http://data.europa.eu/esco/isco/C3111</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 chemická technička pro povrchové úpravy materiálů (28-069-M)</w:t>
      </w:r>
    </w:p>
    <w:p/>
    <w:p>
      <w:pPr>
        <w:pStyle w:val="Heading3"/>
      </w:pPr>
      <w:bookmarkStart w:id="15" w:name="_Toc15"/>
      <w:r>
        <w:t>Další vhodné kvalifikace</w:t>
      </w:r>
      <w:bookmarkEnd w:id="15"/>
    </w:p>
    <w:p>
      <w:pPr>
        <w:numPr>
          <w:ilvl w:val="0"/>
          <w:numId w:val="5"/>
        </w:numPr>
      </w:pPr>
      <w:r>
        <w:rPr/>
        <w:t xml:space="preserve">doporučené - Průkaz řidiče (obsluhy) manipulačních vozíků s vlastním pohonem - odborná způsobilost podle ČSN 26 8805</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f21.D.1004</w:t>
            </w:r>
          </w:p>
        </w:tc>
        <w:tc>
          <w:tcPr>
            <w:tcW w:w="3000" w:type="dxa"/>
          </w:tcPr>
          <w:p>
            <w:pPr/>
            <w:r>
              <w:rPr/>
              <w:t xml:space="preserve">Orientace v předpisech k chemickým látkám a přípravkům a k REACH</w:t>
            </w:r>
          </w:p>
        </w:tc>
        <w:tc>
          <w:tcPr>
            <w:tcW w:w="2000" w:type="dxa"/>
          </w:tcPr>
          <w:p>
            <w:pPr>
              <w:jc w:val="center"/>
            </w:pPr>
            <w:r>
              <w:rPr/>
              <w:t xml:space="preserve">3</w:t>
            </w:r>
          </w:p>
        </w:tc>
        <w:tc>
          <w:tcPr>
            <w:tcW w:w="2000" w:type="dxa"/>
          </w:tcPr>
          <w:p>
            <w:pPr>
              <w:jc w:val="center"/>
            </w:pPr>
            <w:r>
              <w:rPr/>
              <w:t xml:space="preserve">Nutné</w:t>
            </w:r>
          </w:p>
        </w:tc>
      </w:tr>
      <w:tr>
        <w:trPr/>
        <w:tc>
          <w:tcPr>
            <w:tcW w:w="2000" w:type="dxa"/>
          </w:tcPr>
          <w:p>
            <w:pPr>
              <w:jc w:val="center"/>
            </w:pPr>
            <w:r>
              <w:rPr/>
              <w:t xml:space="preserve">e73.Z.1001</w:t>
            </w:r>
          </w:p>
        </w:tc>
        <w:tc>
          <w:tcPr>
            <w:tcW w:w="3000" w:type="dxa"/>
          </w:tcPr>
          <w:p>
            <w:pPr/>
            <w:r>
              <w:rPr/>
              <w:t xml:space="preserve">Řízení technologických procesů a pracovních postupů v oboru povrchových úprav</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e73.D.1004</w:t>
            </w:r>
          </w:p>
        </w:tc>
        <w:tc>
          <w:tcPr>
            <w:tcW w:w="3000" w:type="dxa"/>
          </w:tcPr>
          <w:p>
            <w:pPr/>
            <w:r>
              <w:rPr/>
              <w:t xml:space="preserve">Orientace v legislativních, environmentálních a bezpečnostních předpisech v oboru povrchových úprav</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e73.D.1005</w:t>
            </w:r>
          </w:p>
        </w:tc>
        <w:tc>
          <w:tcPr>
            <w:tcW w:w="3000" w:type="dxa"/>
          </w:tcPr>
          <w:p>
            <w:pPr/>
            <w:r>
              <w:rPr/>
              <w:t xml:space="preserve">Operativní řešení organizačních a provozních problémů na úseku povrchových úprav</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e73.D.3551</w:t>
            </w:r>
          </w:p>
        </w:tc>
        <w:tc>
          <w:tcPr>
            <w:tcW w:w="3000" w:type="dxa"/>
          </w:tcPr>
          <w:p>
            <w:pPr/>
            <w:r>
              <w:rPr/>
              <w:t xml:space="preserve">Kontrola kvality povrchových úprav a odstranění vad</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e52.D.2051</w:t>
            </w:r>
          </w:p>
        </w:tc>
        <w:tc>
          <w:tcPr>
            <w:tcW w:w="3000" w:type="dxa"/>
          </w:tcPr>
          <w:p>
            <w:pPr/>
            <w:r>
              <w:rPr/>
              <w:t xml:space="preserve">Dodržování zásad bezpečnosti a ochrany zdraví při práci, hygieny práce, požární prevence a ochrany životního prostředí v chemické výrobě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e52.D.1000</w:t>
            </w:r>
          </w:p>
        </w:tc>
        <w:tc>
          <w:tcPr>
            <w:tcW w:w="3000" w:type="dxa"/>
          </w:tcPr>
          <w:p>
            <w:pPr/>
            <w:r>
              <w:rPr/>
              <w:t xml:space="preserve">kontrola kvality chemických výrobků a přípravků používaných v technologiích povrchových úprav</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e73._.0055</w:t>
            </w:r>
          </w:p>
        </w:tc>
        <w:tc>
          <w:tcPr>
            <w:tcW w:w="3000" w:type="dxa"/>
          </w:tcPr>
          <w:p>
            <w:pPr/>
            <w:r>
              <w:rPr/>
              <w:t xml:space="preserve">technologie povrchových úprav kovů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f21._.0043</w:t>
            </w:r>
          </w:p>
        </w:tc>
        <w:tc>
          <w:tcPr>
            <w:tcW w:w="3000" w:type="dxa"/>
          </w:tcPr>
          <w:p>
            <w:pPr/>
            <w:r>
              <w:rPr/>
              <w:t xml:space="preserve">principy hodnocení vlastností látek, odpadů a znečištění</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e52._.0004</w:t>
            </w:r>
          </w:p>
        </w:tc>
        <w:tc>
          <w:tcPr>
            <w:tcW w:w="3000" w:type="dxa"/>
          </w:tcPr>
          <w:p>
            <w:pPr/>
            <w:r>
              <w:rPr/>
              <w:t xml:space="preserve">chemické suroviny a přípravky aplikované v oblasti povrchových úprav</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j12._.0022</w:t>
            </w:r>
          </w:p>
        </w:tc>
        <w:tc>
          <w:tcPr>
            <w:tcW w:w="3000" w:type="dxa"/>
          </w:tcPr>
          <w:p>
            <w:pPr/>
            <w:r>
              <w:rPr/>
              <w:t xml:space="preserve">metody vyhodnocování statistických průzkumů, datová analýza</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p/>
    <w:p>
      <w:pPr>
        <w:pStyle w:val="Heading2"/>
      </w:pPr>
      <w:bookmarkStart w:id="21" w:name="_Toc21"/>
      <w:r>
        <w:t>Zdravotní podmínky</w:t>
      </w:r>
      <w:bookmarkEnd w:id="21"/>
    </w:p>
    <w:p>
      <w:pPr>
        <w:pStyle w:val="Heading3"/>
      </w:pPr>
      <w:bookmarkStart w:id="22" w:name="_Toc22"/>
      <w:r>
        <w:t>Onemocnění omezující výkon povolání / specializace povolání.</w:t>
      </w:r>
      <w:bookmarkEnd w:id="22"/>
    </w:p>
    <w:p>
      <w:pPr>
        <w:numPr>
          <w:ilvl w:val="0"/>
          <w:numId w:val="5"/>
        </w:numPr>
      </w:pPr>
      <w:r>
        <w:rPr/>
        <w:t xml:space="preserve">Onemocnění oběhové soustavy</w:t>
      </w:r>
    </w:p>
    <w:p>
      <w:pPr>
        <w:numPr>
          <w:ilvl w:val="0"/>
          <w:numId w:val="5"/>
        </w:numPr>
      </w:pPr>
      <w:r>
        <w:rPr/>
        <w:t xml:space="preserve">Poruchy termoregulace</w:t>
      </w:r>
    </w:p>
    <w:p>
      <w:pPr>
        <w:numPr>
          <w:ilvl w:val="0"/>
          <w:numId w:val="5"/>
        </w:numPr>
      </w:pPr>
      <w:r>
        <w:rPr/>
        <w:t xml:space="preserve">Závažná chronická onemocnění kůže a spojivek</w:t>
      </w:r>
    </w:p>
    <w:p>
      <w:pPr>
        <w:numPr>
          <w:ilvl w:val="0"/>
          <w:numId w:val="5"/>
        </w:numPr>
      </w:pPr>
      <w:r>
        <w:rPr/>
        <w:t xml:space="preserve">Alergická onemocnění</w:t>
      </w:r>
    </w:p>
    <w:p>
      <w:pPr>
        <w:numPr>
          <w:ilvl w:val="0"/>
          <w:numId w:val="5"/>
        </w:numPr>
      </w:pPr>
      <w:r>
        <w:rPr/>
        <w:t xml:space="preserve">Duševní poruchy a poruchy chování</w:t>
      </w:r>
    </w:p>
    <w:p>
      <w:pPr/>
      <w:r>
        <w:rPr>
          <w:sz w:val="16"/>
          <w:szCs w:val="16"/>
          <w:i w:val="1"/>
          <w:iCs w:val="1"/>
        </w:rPr>
        <w:t xml:space="preserve">Přesné posouzení zdravotního stavu s následným doporučením nebo nedoporučením výkonu této pozice je možné pouze po konzultaci s lékařem.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7B553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pro povrchové úpravy materiálů</dc:title>
  <dc:description>Chemický technik pro povrchové úpravy materiálů určuje technologické postupy a zajišťuje technologickou přípravu, průběh a kontrolu procesů povrchové úpravy materiálů podle rámcových pokynů nebo standardních postupů.</dc:description>
  <dc:subject/>
  <cp:keywords/>
  <cp:category>Specializace</cp:category>
  <cp:lastModifiedBy/>
  <dcterms:created xsi:type="dcterms:W3CDTF">2017-11-22T09:21:05+01:00</dcterms:created>
  <dcterms:modified xsi:type="dcterms:W3CDTF">2019-02-28T12:59:42+01:00</dcterms:modified>
</cp:coreProperties>
</file>

<file path=docProps/custom.xml><?xml version="1.0" encoding="utf-8"?>
<Properties xmlns="http://schemas.openxmlformats.org/officeDocument/2006/custom-properties" xmlns:vt="http://schemas.openxmlformats.org/officeDocument/2006/docPropsVTypes"/>
</file>