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sítí</w:t>
      </w:r>
      <w:bookmarkEnd w:id="1"/>
    </w:p>
    <w:p>
      <w:pPr/>
      <w:r>
        <w:rPr/>
        <w:t xml:space="preserve">Vodárenský technik vodovodních sítí zajišťuje výstavbu, provoz a údržbu vodovodních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vyznačování vedení vodovodních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Zajišťování odstraňování havárií, poruch a úniků vody na vodovodech.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vodovodní síti.</w:t>
      </w:r>
    </w:p>
    <w:p>
      <w:pPr>
        <w:numPr>
          <w:ilvl w:val="0"/>
          <w:numId w:val="5"/>
        </w:numPr>
      </w:pPr>
      <w:r>
        <w:rPr/>
        <w:t xml:space="preserve">Zajišťování oprav na vodovodních sítích a příslušných zařízeních.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sítích.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vodovodních sítí (36-141-M)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E84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sítí</dc:title>
  <dc:description>Vodárenský technik vodovodních sítí zajišťuje výstavbu, provoz a údržbu vodovodních sítí.</dc:description>
  <dc:subject/>
  <cp:keywords/>
  <cp:category>Specializace</cp:category>
  <cp:lastModifiedBy/>
  <dcterms:created xsi:type="dcterms:W3CDTF">2017-11-22T09:24:10+01:00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