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Vodárenský technik úpravy pitné vody</w:t>
      </w:r>
      <w:bookmarkEnd w:id="1"/>
    </w:p>
    <w:p>
      <w:pPr/>
      <w:r>
        <w:rPr/>
        <w:t xml:space="preserve">Vodárenský technik úpravy pitné vody zajišťuje provoz úpravny pitné vody.</w:t>
      </w:r>
    </w:p>
    <w:p/>
    <w:tbl>
      <w:tblGrid>
        <w:gridCol w:w="3000" w:type="dxa"/>
        <w:gridCol w:w="6000" w:type="dxa"/>
      </w:tblGrid>
      <w:tblPr>
        <w:jc w:val="start"/>
        <w:tblW w:w="0" w:type="auto"/>
        <w:tblCellSpacing w:w="50" w:type="dxa"/>
        <w:tblLayout w:type="autofit"/>
        <w:bidiVisual w:val="0"/>
        <w:tblCellMar>
          <w:top w:w="80" w:type="dxa"/>
          <w:left w:w="80" w:type="dxa"/>
          <w:right w:w="80" w:type="dxa"/>
          <w:bottom w:w="80" w:type="dxa"/>
        </w:tblCellMar>
      </w:tblPr>
      <w:tr>
        <w:trPr/>
        <w:tc>
          <w:tcPr>
            <w:tcW w:w="3000" w:type="dxa"/>
          </w:tcPr>
          <w:p>
            <w:pPr/>
            <w:r>
              <w:rPr>
                <w:b w:val="1"/>
                <w:bCs w:val="1"/>
              </w:rPr>
              <w:t xml:space="preserve">Odborný směr:</w:t>
            </w:r>
          </w:p>
        </w:tc>
        <w:tc>
          <w:tcPr>
            <w:tcW w:w="6000" w:type="dxa"/>
          </w:tcPr>
          <w:p>
            <w:pPr/>
            <w:r>
              <w:rPr/>
              <w:t xml:space="preserve">Vodní hospodářství</w:t>
            </w:r>
          </w:p>
        </w:tc>
      </w:tr>
      <w:tr>
        <w:trPr/>
        <w:tc>
          <w:tcPr/>
          <w:p>
            <w:pPr/>
            <w:r>
              <w:rPr>
                <w:b w:val="1"/>
                <w:bCs w:val="1"/>
              </w:rPr>
              <w:t xml:space="preserve">Odborný podsměr:</w:t>
            </w:r>
          </w:p>
        </w:tc>
        <w:tc>
          <w:tcPr/>
          <w:p>
            <w:pPr/>
            <w:r>
              <w:rPr/>
              <w:t xml:space="preserve">vodovody a kanalizace</w:t>
            </w:r>
          </w:p>
        </w:tc>
      </w:tr>
      <w:tr>
        <w:trPr/>
        <w:tc>
          <w:tcPr/>
          <w:p>
            <w:pPr/>
            <w:r>
              <w:rPr>
                <w:b w:val="1"/>
                <w:bCs w:val="1"/>
              </w:rPr>
              <w:t xml:space="preserve">Kvalifikační úroveň:</w:t>
            </w:r>
          </w:p>
        </w:tc>
        <w:tc>
          <w:tcPr/>
          <w:p>
            <w:pPr/>
            <w:r>
              <w:rPr/>
              <w:t xml:space="preserve">Střední vzdělání s maturitní zkouškou; Střední vzdělání s výučním listem i maturitní zkouškou</w:t>
            </w:r>
          </w:p>
        </w:tc>
      </w:tr>
      <w:tr>
        <w:trPr/>
        <w:tc>
          <w:tcPr/>
          <w:p>
            <w:pPr/>
            <w:r>
              <w:rPr>
                <w:b w:val="1"/>
                <w:bCs w:val="1"/>
              </w:rPr>
              <w:t xml:space="preserve">Alternativní názvy:</w:t>
            </w:r>
          </w:p>
        </w:tc>
        <w:tc>
          <w:tcPr/>
          <w:p>
            <w:pPr/>
            <w:r>
              <w:rPr/>
              <w:t xml:space="preserve">Mistr, Vedoucí pracovní skupiny</w:t>
            </w:r>
          </w:p>
        </w:tc>
      </w:tr>
      <w:tr>
        <w:trPr/>
        <w:tc>
          <w:tcPr/>
          <w:p>
            <w:pPr/>
            <w:r>
              <w:rPr>
                <w:b w:val="1"/>
                <w:bCs w:val="1"/>
              </w:rPr>
              <w:t xml:space="preserve">Nadřízené povolání:</w:t>
            </w:r>
          </w:p>
        </w:tc>
        <w:tc>
          <w:tcPr/>
          <w:p>
            <w:pPr/>
            <w:r>
              <w:rPr/>
              <w:t xml:space="preserve">Vodárenský technik</w:t>
            </w:r>
          </w:p>
        </w:tc>
      </w:tr>
      <w:tr>
        <w:trPr/>
        <w:tc>
          <w:tcPr/>
          <w:p>
            <w:pPr/>
            <w:r>
              <w:rPr>
                <w:b w:val="1"/>
                <w:bCs w:val="1"/>
              </w:rPr>
              <w:t xml:space="preserve">Příbuzné specializace:</w:t>
            </w:r>
          </w:p>
        </w:tc>
        <w:tc>
          <w:tcPr/>
          <w:p>
            <w:pPr/>
            <w:r>
              <w:rPr/>
              <w:t xml:space="preserve">Vodárenský technik dispečer, Vodárenský technik technolog pitných a odpadních vod, Vodárenský technik čištění odpadních vod, Vodárenský technik úpravy pitné vody, Vodárenský technik dispečer, Vodárenský technik úpravy pitné vody, Vodárenský technik čištění odpadních vod, Vodárenský technik technolog pitných a odpadních vod</w:t>
            </w:r>
          </w:p>
        </w:tc>
      </w:tr>
      <w:tr>
        <w:trPr/>
        <w:tc>
          <w:tcPr/>
          <w:p>
            <w:pPr/>
            <w:r>
              <w:rPr>
                <w:b w:val="1"/>
                <w:bCs w:val="1"/>
              </w:rPr>
              <w:t xml:space="preserve">Regulovaná jednotka práce:</w:t>
            </w:r>
          </w:p>
        </w:tc>
        <w:tc>
          <w:tcPr/>
          <w:p>
            <w:pPr/>
            <w:r>
              <w:rPr/>
              <w:t xml:space="preserve">ne</w:t>
            </w:r>
          </w:p>
        </w:tc>
      </w:tr>
    </w:tbl>
    <w:p/>
    <w:p>
      <w:pPr>
        <w:pStyle w:val="Heading2"/>
      </w:pPr>
      <w:bookmarkStart w:id="2" w:name="_Toc2"/>
      <w:r>
        <w:t>Pracovní činnosti</w:t>
      </w:r>
      <w:bookmarkEnd w:id="2"/>
    </w:p>
    <w:p>
      <w:pPr>
        <w:numPr>
          <w:ilvl w:val="0"/>
          <w:numId w:val="5"/>
        </w:numPr>
      </w:pPr>
      <w:r>
        <w:rPr/>
        <w:t xml:space="preserve">Organizace práce a operativní řízení provozu úpravy pitné vody.</w:t>
      </w:r>
    </w:p>
    <w:p>
      <w:pPr>
        <w:numPr>
          <w:ilvl w:val="0"/>
          <w:numId w:val="5"/>
        </w:numPr>
      </w:pPr>
      <w:r>
        <w:rPr/>
        <w:t xml:space="preserve">Dodržování technologických předpisů a postupů při odběru, úpravě a dopravě pitné vody.</w:t>
      </w:r>
    </w:p>
    <w:p>
      <w:pPr>
        <w:numPr>
          <w:ilvl w:val="0"/>
          <w:numId w:val="5"/>
        </w:numPr>
      </w:pPr>
      <w:r>
        <w:rPr/>
        <w:t xml:space="preserve">Vyhodnocování ukazatelů technologie úpravy pitné vody.</w:t>
      </w:r>
    </w:p>
    <w:p>
      <w:pPr>
        <w:numPr>
          <w:ilvl w:val="0"/>
          <w:numId w:val="5"/>
        </w:numPr>
      </w:pPr>
      <w:r>
        <w:rPr/>
        <w:t xml:space="preserve">Provádění kontroly kvality distribuované pitné vody.</w:t>
      </w:r>
    </w:p>
    <w:p>
      <w:pPr>
        <w:numPr>
          <w:ilvl w:val="0"/>
          <w:numId w:val="5"/>
        </w:numPr>
      </w:pPr>
      <w:r>
        <w:rPr/>
        <w:t xml:space="preserve">Uvádění do praxe nových poznatků a požadavků technologů.</w:t>
      </w:r>
    </w:p>
    <w:p>
      <w:pPr>
        <w:numPr>
          <w:ilvl w:val="0"/>
          <w:numId w:val="5"/>
        </w:numPr>
      </w:pPr>
      <w:r>
        <w:rPr/>
        <w:t xml:space="preserve">Provádění kontroly nastavení parametrů u strojů a zařízení k úpravě pitné vody.</w:t>
      </w:r>
    </w:p>
    <w:p>
      <w:pPr>
        <w:numPr>
          <w:ilvl w:val="0"/>
          <w:numId w:val="5"/>
        </w:numPr>
      </w:pPr>
      <w:r>
        <w:rPr/>
        <w:t xml:space="preserve">Zajišťování úkolů stanovených operativním plánem výroby.</w:t>
      </w:r>
    </w:p>
    <w:p>
      <w:pPr>
        <w:numPr>
          <w:ilvl w:val="0"/>
          <w:numId w:val="5"/>
        </w:numPr>
      </w:pPr>
      <w:r>
        <w:rPr/>
        <w:t xml:space="preserve">Kontrola dodržování pracovní a technologické kázně.</w:t>
      </w:r>
    </w:p>
    <w:p>
      <w:pPr>
        <w:numPr>
          <w:ilvl w:val="0"/>
          <w:numId w:val="5"/>
        </w:numPr>
      </w:pPr>
      <w:r>
        <w:rPr/>
        <w:t xml:space="preserve">Kontrola dodržování provozních a manipulačních řádů.</w:t>
      </w:r>
    </w:p>
    <w:p>
      <w:pPr>
        <w:numPr>
          <w:ilvl w:val="0"/>
          <w:numId w:val="5"/>
        </w:numPr>
      </w:pPr>
      <w:r>
        <w:rPr/>
        <w:t xml:space="preserve">Stanovení rozpisu pracovních úkolů na pracoviště a kontrola jejich plnění.</w:t>
      </w:r>
    </w:p>
    <w:p>
      <w:pPr>
        <w:numPr>
          <w:ilvl w:val="0"/>
          <w:numId w:val="5"/>
        </w:numPr>
      </w:pPr>
      <w:r>
        <w:rPr/>
        <w:t xml:space="preserve">Vedení příslušné provozní a technické dokumentace.</w:t>
      </w:r>
    </w:p>
    <w:p>
      <w:pPr>
        <w:numPr>
          <w:ilvl w:val="0"/>
          <w:numId w:val="5"/>
        </w:numPr>
      </w:pPr>
      <w:r>
        <w:rPr/>
        <w:t xml:space="preserve">Zpracování pracovních výkazů jako podkladu pro mzdy.</w:t>
      </w:r>
    </w:p>
    <w:p>
      <w:pPr>
        <w:numPr>
          <w:ilvl w:val="0"/>
          <w:numId w:val="5"/>
        </w:numPr>
      </w:pPr>
      <w:r>
        <w:rPr/>
        <w:t xml:space="preserve">Kontrola dodržování pravidel v ochranných pásmech vodních zdrojů.</w:t>
      </w:r>
    </w:p>
    <w:p>
      <w:pPr>
        <w:numPr>
          <w:ilvl w:val="0"/>
          <w:numId w:val="5"/>
        </w:numPr>
      </w:pPr>
      <w:r>
        <w:rPr/>
        <w:t xml:space="preserve">Práce s chemickými látkami (např. chlor).</w:t>
      </w:r>
    </w:p>
    <w:p>
      <w:pPr>
        <w:numPr>
          <w:ilvl w:val="0"/>
          <w:numId w:val="5"/>
        </w:numPr>
      </w:pPr>
      <w:r>
        <w:rPr/>
        <w:t xml:space="preserve">Zajišťování provozu malé vodní elektrárny.</w:t>
      </w:r>
    </w:p>
    <w:p/>
    <w:p>
      <w:pPr>
        <w:pStyle w:val="Heading2"/>
      </w:pPr>
      <w:bookmarkStart w:id="3" w:name="_Toc3"/>
      <w:r>
        <w:t>CZ-ISCO</w:t>
      </w:r>
      <w:bookmarkEnd w:id="3"/>
    </w:p>
    <w:p>
      <w:pPr>
        <w:numPr>
          <w:ilvl w:val="0"/>
          <w:numId w:val="5"/>
        </w:numPr>
      </w:pPr>
      <w:r>
        <w:rPr/>
        <w:t xml:space="preserve">Mistři a příbuzní pracovníci v chemii, farmacii a potravinářství</w:t>
      </w:r>
    </w:p>
    <w:p>
      <w:pPr>
        <w:numPr>
          <w:ilvl w:val="0"/>
          <w:numId w:val="5"/>
        </w:numPr>
      </w:pPr>
      <w:r>
        <w:rPr/>
        <w:t xml:space="preserve">Mistři a příbuzní pracovníci ve výrobě (kromě hutní výroby a slévárenství)</w:t>
      </w:r>
    </w:p>
    <w:p/>
    <w:p>
      <w:pPr>
        <w:pStyle w:val="Heading3"/>
      </w:pPr>
      <w:bookmarkStart w:id="4" w:name="_Toc4"/>
      <w:r>
        <w:t>Hrubé měsíční mzdy podle krajů v roce 2023</w:t>
      </w:r>
      <w:bookmarkEnd w:id="4"/>
    </w:p>
    <w:p>
      <w:pPr>
        <w:pStyle w:val="Heading4"/>
      </w:pPr>
      <w:bookmarkStart w:id="5" w:name="_Toc5"/>
      <w:r>
        <w:t>Mistři a příbuzní pracovníci ve výrobě (kromě hutní výroby a slévárenství) (CZ-ISCO 3122)</w:t>
      </w:r>
      <w:bookmarkEnd w:id="5"/>
    </w:p>
    <w:tbl>
      <w:tblGrid>
        <w:gridCol w:w="2400" w:type="dxa"/>
        <w:gridCol w:w="1100" w:type="dxa"/>
        <w:gridCol w:w="1100" w:type="dxa"/>
        <w:gridCol w:w="1100" w:type="dxa"/>
        <w:gridCol w:w="1100" w:type="dxa"/>
        <w:gridCol w:w="1100" w:type="dxa"/>
        <w:gridCol w:w="1100" w:type="dxa"/>
      </w:tblGrid>
      <w:tblPr>
        <w:jc w:val="start"/>
        <w:tblW w:w="0" w:type="auto"/>
        <w:tblCellSpacing w:w="50" w:type="dxa"/>
        <w:tblLayout w:type="autofit"/>
        <w:bidiVisual w:val="0"/>
        <w:tblCellMar>
          <w:top w:w="80" w:type="dxa"/>
          <w:left w:w="80" w:type="dxa"/>
          <w:right w:w="80" w:type="dxa"/>
          <w:bottom w:w="80" w:type="dxa"/>
        </w:tblCellMar>
      </w:tblPr>
      <w:tr>
        <w:trPr/>
        <w:tc>
          <w:tcPr>
            <w:tcW w:w="2400" w:type="dxa"/>
          </w:tcPr>
          <w:p/>
        </w:tc>
        <w:tc>
          <w:tcPr>
            <w:tcW w:w="3300" w:type="dxa"/>
            <w:gridSpan w:val="3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Mzdová sféra</w:t>
            </w:r>
          </w:p>
        </w:tc>
        <w:tc>
          <w:tcPr>
            <w:tcW w:w="3300" w:type="dxa"/>
            <w:gridSpan w:val="3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Platová sféra</w:t>
            </w:r>
          </w:p>
        </w:tc>
      </w:tr>
      <w:tr>
        <w:trPr/>
        <w:tc>
          <w:tcPr>
            <w:tcW w:w="2400" w:type="dxa"/>
          </w:tcPr>
          <w:p>
            <w:pPr/>
            <w:r>
              <w:rPr>
                <w:b w:val="1"/>
                <w:bCs w:val="1"/>
              </w:rPr>
              <w:t xml:space="preserve">Kraj</w:t>
            </w:r>
          </w:p>
        </w:tc>
        <w:tc>
          <w:tcPr>
            <w:tcW w:w="11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Od</w:t>
            </w:r>
          </w:p>
        </w:tc>
        <w:tc>
          <w:tcPr>
            <w:tcW w:w="11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Medián</w:t>
            </w:r>
          </w:p>
        </w:tc>
        <w:tc>
          <w:tcPr>
            <w:tcW w:w="11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Do</w:t>
            </w:r>
          </w:p>
        </w:tc>
        <w:tc>
          <w:tcPr>
            <w:tcW w:w="11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Od</w:t>
            </w:r>
          </w:p>
        </w:tc>
        <w:tc>
          <w:tcPr>
            <w:tcW w:w="11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Medián</w:t>
            </w:r>
          </w:p>
        </w:tc>
        <w:tc>
          <w:tcPr>
            <w:tcW w:w="11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Do</w:t>
            </w:r>
          </w:p>
        </w:tc>
      </w:tr>
      <w:tr>
        <w:trPr/>
        <w:tc>
          <w:tcPr>
            <w:tcW w:w="2000" w:type="dxa"/>
          </w:tcPr>
          <w:p>
            <w:pPr/>
            <w:r>
              <w:rPr/>
              <w:t xml:space="preserve">Hlavní město Praha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25 127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57 116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85 553 Kč</w:t>
            </w:r>
          </w:p>
        </w:tc>
        <w:tc>
          <w:tcPr>
            <w:tcW w:w="1000" w:type="dxa"/>
          </w:tcPr>
          <w:p/>
        </w:tc>
        <w:tc>
          <w:tcPr>
            <w:tcW w:w="1000" w:type="dxa"/>
          </w:tcPr>
          <w:p/>
        </w:tc>
        <w:tc>
          <w:tcPr>
            <w:tcW w:w="1000" w:type="dxa"/>
          </w:tcPr>
          <w:p/>
        </w:tc>
      </w:tr>
      <w:tr>
        <w:trPr/>
        <w:tc>
          <w:tcPr>
            <w:tcW w:w="2000" w:type="dxa"/>
          </w:tcPr>
          <w:p>
            <w:pPr/>
            <w:r>
              <w:rPr/>
              <w:t xml:space="preserve">Středočeský kraj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24 764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54 438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88 089 Kč</w:t>
            </w:r>
          </w:p>
        </w:tc>
        <w:tc>
          <w:tcPr>
            <w:tcW w:w="1000" w:type="dxa"/>
          </w:tcPr>
          <w:p/>
        </w:tc>
        <w:tc>
          <w:tcPr>
            <w:tcW w:w="1000" w:type="dxa"/>
          </w:tcPr>
          <w:p/>
        </w:tc>
        <w:tc>
          <w:tcPr>
            <w:tcW w:w="1000" w:type="dxa"/>
          </w:tcPr>
          <w:p/>
        </w:tc>
      </w:tr>
      <w:tr>
        <w:trPr/>
        <w:tc>
          <w:tcPr>
            <w:tcW w:w="2000" w:type="dxa"/>
          </w:tcPr>
          <w:p>
            <w:pPr/>
            <w:r>
              <w:rPr/>
              <w:t xml:space="preserve">Jihočeský kraj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33 039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50 682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71 245 Kč</w:t>
            </w:r>
          </w:p>
        </w:tc>
        <w:tc>
          <w:tcPr>
            <w:tcW w:w="1000" w:type="dxa"/>
          </w:tcPr>
          <w:p/>
        </w:tc>
        <w:tc>
          <w:tcPr>
            <w:tcW w:w="1000" w:type="dxa"/>
          </w:tcPr>
          <w:p/>
        </w:tc>
        <w:tc>
          <w:tcPr>
            <w:tcW w:w="1000" w:type="dxa"/>
          </w:tcPr>
          <w:p/>
        </w:tc>
      </w:tr>
      <w:tr>
        <w:trPr/>
        <w:tc>
          <w:tcPr>
            <w:tcW w:w="2000" w:type="dxa"/>
          </w:tcPr>
          <w:p>
            <w:pPr/>
            <w:r>
              <w:rPr/>
              <w:t xml:space="preserve">Plzeňský kraj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35 816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54 037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76 827 Kč</w:t>
            </w:r>
          </w:p>
        </w:tc>
        <w:tc>
          <w:tcPr>
            <w:tcW w:w="1000" w:type="dxa"/>
          </w:tcPr>
          <w:p/>
        </w:tc>
        <w:tc>
          <w:tcPr>
            <w:tcW w:w="1000" w:type="dxa"/>
          </w:tcPr>
          <w:p/>
        </w:tc>
        <w:tc>
          <w:tcPr>
            <w:tcW w:w="1000" w:type="dxa"/>
          </w:tcPr>
          <w:p/>
        </w:tc>
      </w:tr>
      <w:tr>
        <w:trPr/>
        <w:tc>
          <w:tcPr>
            <w:tcW w:w="2000" w:type="dxa"/>
          </w:tcPr>
          <w:p>
            <w:pPr/>
            <w:r>
              <w:rPr/>
              <w:t xml:space="preserve">Karlovarský kraj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35 732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51 059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72 049 Kč</w:t>
            </w:r>
          </w:p>
        </w:tc>
        <w:tc>
          <w:tcPr>
            <w:tcW w:w="1000" w:type="dxa"/>
          </w:tcPr>
          <w:p/>
        </w:tc>
        <w:tc>
          <w:tcPr>
            <w:tcW w:w="1000" w:type="dxa"/>
          </w:tcPr>
          <w:p/>
        </w:tc>
        <w:tc>
          <w:tcPr>
            <w:tcW w:w="1000" w:type="dxa"/>
          </w:tcPr>
          <w:p/>
        </w:tc>
      </w:tr>
      <w:tr>
        <w:trPr/>
        <w:tc>
          <w:tcPr>
            <w:tcW w:w="2000" w:type="dxa"/>
          </w:tcPr>
          <w:p>
            <w:pPr/>
            <w:r>
              <w:rPr/>
              <w:t xml:space="preserve">Ústecký kraj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35 996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53 183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76 222 Kč</w:t>
            </w:r>
          </w:p>
        </w:tc>
        <w:tc>
          <w:tcPr>
            <w:tcW w:w="1000" w:type="dxa"/>
          </w:tcPr>
          <w:p/>
        </w:tc>
        <w:tc>
          <w:tcPr>
            <w:tcW w:w="1000" w:type="dxa"/>
          </w:tcPr>
          <w:p/>
        </w:tc>
        <w:tc>
          <w:tcPr>
            <w:tcW w:w="1000" w:type="dxa"/>
          </w:tcPr>
          <w:p/>
        </w:tc>
      </w:tr>
      <w:tr>
        <w:trPr/>
        <w:tc>
          <w:tcPr>
            <w:tcW w:w="2000" w:type="dxa"/>
          </w:tcPr>
          <w:p>
            <w:pPr/>
            <w:r>
              <w:rPr/>
              <w:t xml:space="preserve">Liberecký kraj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33 249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51 597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77 805 Kč</w:t>
            </w:r>
          </w:p>
        </w:tc>
        <w:tc>
          <w:tcPr>
            <w:tcW w:w="1000" w:type="dxa"/>
          </w:tcPr>
          <w:p/>
        </w:tc>
        <w:tc>
          <w:tcPr>
            <w:tcW w:w="1000" w:type="dxa"/>
          </w:tcPr>
          <w:p/>
        </w:tc>
        <w:tc>
          <w:tcPr>
            <w:tcW w:w="1000" w:type="dxa"/>
          </w:tcPr>
          <w:p/>
        </w:tc>
      </w:tr>
      <w:tr>
        <w:trPr/>
        <w:tc>
          <w:tcPr>
            <w:tcW w:w="2000" w:type="dxa"/>
          </w:tcPr>
          <w:p>
            <w:pPr/>
            <w:r>
              <w:rPr/>
              <w:t xml:space="preserve">Královéhradecký kraj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35 136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50 672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84 190 Kč</w:t>
            </w:r>
          </w:p>
        </w:tc>
        <w:tc>
          <w:tcPr>
            <w:tcW w:w="1000" w:type="dxa"/>
          </w:tcPr>
          <w:p/>
        </w:tc>
        <w:tc>
          <w:tcPr>
            <w:tcW w:w="1000" w:type="dxa"/>
          </w:tcPr>
          <w:p/>
        </w:tc>
        <w:tc>
          <w:tcPr>
            <w:tcW w:w="1000" w:type="dxa"/>
          </w:tcPr>
          <w:p/>
        </w:tc>
      </w:tr>
      <w:tr>
        <w:trPr/>
        <w:tc>
          <w:tcPr>
            <w:tcW w:w="2000" w:type="dxa"/>
          </w:tcPr>
          <w:p>
            <w:pPr/>
            <w:r>
              <w:rPr/>
              <w:t xml:space="preserve">Pardubický kraj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34 300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48 476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74 169 Kč</w:t>
            </w:r>
          </w:p>
        </w:tc>
        <w:tc>
          <w:tcPr>
            <w:tcW w:w="1000" w:type="dxa"/>
          </w:tcPr>
          <w:p/>
        </w:tc>
        <w:tc>
          <w:tcPr>
            <w:tcW w:w="1000" w:type="dxa"/>
          </w:tcPr>
          <w:p/>
        </w:tc>
        <w:tc>
          <w:tcPr>
            <w:tcW w:w="1000" w:type="dxa"/>
          </w:tcPr>
          <w:p/>
        </w:tc>
      </w:tr>
      <w:tr>
        <w:trPr/>
        <w:tc>
          <w:tcPr>
            <w:tcW w:w="2000" w:type="dxa"/>
          </w:tcPr>
          <w:p>
            <w:pPr/>
            <w:r>
              <w:rPr/>
              <w:t xml:space="preserve">Kraj Vysočina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33 547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48 516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71 048 Kč</w:t>
            </w:r>
          </w:p>
        </w:tc>
        <w:tc>
          <w:tcPr>
            <w:tcW w:w="1000" w:type="dxa"/>
          </w:tcPr>
          <w:p/>
        </w:tc>
        <w:tc>
          <w:tcPr>
            <w:tcW w:w="1000" w:type="dxa"/>
          </w:tcPr>
          <w:p/>
        </w:tc>
        <w:tc>
          <w:tcPr>
            <w:tcW w:w="1000" w:type="dxa"/>
          </w:tcPr>
          <w:p/>
        </w:tc>
      </w:tr>
      <w:tr>
        <w:trPr/>
        <w:tc>
          <w:tcPr>
            <w:tcW w:w="2000" w:type="dxa"/>
          </w:tcPr>
          <w:p>
            <w:pPr/>
            <w:r>
              <w:rPr/>
              <w:t xml:space="preserve">Jihomoravský kraj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31 526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49 430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71 390 Kč</w:t>
            </w:r>
          </w:p>
        </w:tc>
        <w:tc>
          <w:tcPr>
            <w:tcW w:w="1000" w:type="dxa"/>
          </w:tcPr>
          <w:p/>
        </w:tc>
        <w:tc>
          <w:tcPr>
            <w:tcW w:w="1000" w:type="dxa"/>
          </w:tcPr>
          <w:p/>
        </w:tc>
        <w:tc>
          <w:tcPr>
            <w:tcW w:w="1000" w:type="dxa"/>
          </w:tcPr>
          <w:p/>
        </w:tc>
      </w:tr>
      <w:tr>
        <w:trPr/>
        <w:tc>
          <w:tcPr>
            <w:tcW w:w="2000" w:type="dxa"/>
          </w:tcPr>
          <w:p>
            <w:pPr/>
            <w:r>
              <w:rPr/>
              <w:t xml:space="preserve">Olomoucký kraj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31 250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46 162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64 905 Kč</w:t>
            </w:r>
          </w:p>
        </w:tc>
        <w:tc>
          <w:tcPr>
            <w:tcW w:w="1000" w:type="dxa"/>
          </w:tcPr>
          <w:p/>
        </w:tc>
        <w:tc>
          <w:tcPr>
            <w:tcW w:w="1000" w:type="dxa"/>
          </w:tcPr>
          <w:p/>
        </w:tc>
        <w:tc>
          <w:tcPr>
            <w:tcW w:w="1000" w:type="dxa"/>
          </w:tcPr>
          <w:p/>
        </w:tc>
      </w:tr>
      <w:tr>
        <w:trPr/>
        <w:tc>
          <w:tcPr>
            <w:tcW w:w="2000" w:type="dxa"/>
          </w:tcPr>
          <w:p>
            <w:pPr/>
            <w:r>
              <w:rPr/>
              <w:t xml:space="preserve">Zlínský kraj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32 012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48 561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73 220 Kč</w:t>
            </w:r>
          </w:p>
        </w:tc>
        <w:tc>
          <w:tcPr>
            <w:tcW w:w="1000" w:type="dxa"/>
          </w:tcPr>
          <w:p/>
        </w:tc>
        <w:tc>
          <w:tcPr>
            <w:tcW w:w="1000" w:type="dxa"/>
          </w:tcPr>
          <w:p/>
        </w:tc>
        <w:tc>
          <w:tcPr>
            <w:tcW w:w="1000" w:type="dxa"/>
          </w:tcPr>
          <w:p/>
        </w:tc>
      </w:tr>
      <w:tr>
        <w:trPr/>
        <w:tc>
          <w:tcPr>
            <w:tcW w:w="2000" w:type="dxa"/>
          </w:tcPr>
          <w:p>
            <w:pPr/>
            <w:r>
              <w:rPr/>
              <w:t xml:space="preserve">Moravskoslezský kraj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30 630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49 473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73 267 Kč</w:t>
            </w:r>
          </w:p>
        </w:tc>
        <w:tc>
          <w:tcPr>
            <w:tcW w:w="1000" w:type="dxa"/>
          </w:tcPr>
          <w:p/>
        </w:tc>
        <w:tc>
          <w:tcPr>
            <w:tcW w:w="1000" w:type="dxa"/>
          </w:tcPr>
          <w:p/>
        </w:tc>
        <w:tc>
          <w:tcPr>
            <w:tcW w:w="1000" w:type="dxa"/>
          </w:tcPr>
          <w:p/>
        </w:tc>
      </w:tr>
    </w:tbl>
    <w:p/>
    <w:p>
      <w:pPr>
        <w:pStyle w:val="Heading3"/>
      </w:pPr>
      <w:bookmarkStart w:id="6" w:name="_Toc6"/>
      <w:r>
        <w:t>Hrubé měsíční mzdy v roce 2023 celkem</w:t>
      </w:r>
      <w:bookmarkEnd w:id="6"/>
    </w:p>
    <w:tbl>
      <w:tblGrid>
        <w:gridCol w:w="1000" w:type="dxa"/>
        <w:gridCol w:w="2000" w:type="dxa"/>
        <w:gridCol w:w="3000" w:type="dxa"/>
        <w:gridCol w:w="3000" w:type="dxa"/>
      </w:tblGrid>
      <w:tblPr>
        <w:jc w:val="start"/>
        <w:tblW w:w="0" w:type="auto"/>
        <w:tblCellSpacing w:w="50" w:type="dxa"/>
        <w:tblLayout w:type="autofit"/>
        <w:bidiVisual w:val="0"/>
        <w:tblCellMar>
          <w:top w:w="80" w:type="dxa"/>
          <w:left w:w="80" w:type="dxa"/>
          <w:right w:w="80" w:type="dxa"/>
          <w:bottom w:w="80" w:type="dxa"/>
        </w:tblCellMar>
      </w:tblPr>
      <w:tr>
        <w:trPr/>
        <w:tc>
          <w:tcPr>
            <w:tcW w:w="3000" w:type="dxa"/>
            <w:gridSpan w:val="2"/>
          </w:tcPr>
          <w:p/>
        </w:tc>
        <w:tc>
          <w:tcPr>
            <w:tcW w:w="6000" w:type="dxa"/>
            <w:gridSpan w:val="2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Medián za ČR celkem</w:t>
            </w:r>
          </w:p>
        </w:tc>
      </w:tr>
      <w:tr>
        <w:trPr/>
        <w:tc>
          <w:tcPr>
            <w:tcW w:w="1000" w:type="dxa"/>
          </w:tcPr>
          <w:p>
            <w:pPr/>
            <w:r>
              <w:rPr>
                <w:b w:val="1"/>
                <w:bCs w:val="1"/>
              </w:rPr>
              <w:t xml:space="preserve">CZ-ISCO</w:t>
            </w:r>
          </w:p>
        </w:tc>
        <w:tc>
          <w:tcPr>
            <w:tcW w:w="2000" w:type="dxa"/>
          </w:tcPr>
          <w:p/>
        </w:tc>
        <w:tc>
          <w:tcPr>
            <w:tcW w:w="3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Mzdová sféra</w:t>
            </w:r>
          </w:p>
        </w:tc>
        <w:tc>
          <w:tcPr>
            <w:tcW w:w="3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Platová sféra</w:t>
            </w:r>
          </w:p>
        </w:tc>
      </w:tr>
      <w:tr>
        <w:trPr/>
        <w:tc>
          <w:tcPr>
            <w:tcW w:w="1000" w:type="dxa"/>
          </w:tcPr>
          <w:p>
            <w:pPr>
              <w:jc w:val="center"/>
            </w:pPr>
            <w:r>
              <w:rPr/>
              <w:t xml:space="preserve">3122</w:t>
            </w:r>
          </w:p>
        </w:tc>
        <w:tc>
          <w:tcPr>
            <w:tcW w:w="2000" w:type="dxa"/>
          </w:tcPr>
          <w:p>
            <w:pPr/>
            <w:r>
              <w:rPr/>
              <w:t xml:space="preserve">Mistři a příbuzní pracovníci ve výrobě (kromě hutní výroby a slévárenství)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42 804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50 748 Kč</w:t>
            </w:r>
          </w:p>
        </w:tc>
      </w:tr>
      <w:tr>
        <w:trPr/>
        <w:tc>
          <w:tcPr>
            <w:tcW w:w="1000" w:type="dxa"/>
          </w:tcPr>
          <w:p>
            <w:pPr>
              <w:jc w:val="center"/>
            </w:pPr>
            <w:r>
              <w:rPr/>
              <w:t xml:space="preserve">31224</w:t>
            </w:r>
          </w:p>
        </w:tc>
        <w:tc>
          <w:tcPr>
            <w:tcW w:w="2000" w:type="dxa"/>
          </w:tcPr>
          <w:p>
            <w:pPr/>
            <w:r>
              <w:rPr/>
              <w:t xml:space="preserve">Mistři a příbuzní pracovníci v chemii, farmacii a potravinářství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-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51 584 Kč</w:t>
            </w:r>
          </w:p>
        </w:tc>
      </w:tr>
    </w:tbl>
    <w:p/>
    <w:p>
      <w:pPr>
        <w:pStyle w:val="Heading2"/>
      </w:pPr>
      <w:bookmarkStart w:id="7" w:name="_Toc7"/>
      <w:r>
        <w:t>ESCO</w:t>
      </w:r>
      <w:bookmarkEnd w:id="7"/>
    </w:p>
    <w:tbl>
      <w:tblGrid>
        <w:gridCol w:w="3000" w:type="dxa"/>
        <w:gridCol w:w="3000" w:type="dxa"/>
        <w:gridCol w:w="3000" w:type="dxa"/>
      </w:tblGrid>
      <w:tblPr>
        <w:jc w:val="start"/>
        <w:tblW w:w="0" w:type="auto"/>
        <w:tblCellSpacing w:w="50" w:type="dxa"/>
        <w:tblLayout w:type="autofit"/>
        <w:bidiVisual w:val="0"/>
        <w:tblCellMar>
          <w:top w:w="80" w:type="dxa"/>
          <w:left w:w="80" w:type="dxa"/>
          <w:right w:w="80" w:type="dxa"/>
          <w:bottom w:w="80" w:type="dxa"/>
        </w:tblCellMar>
      </w:tblPr>
      <w:tr>
        <w:trPr/>
        <w:tc>
          <w:tcPr>
            <w:tcW w:w="3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Kód podskupiny</w:t>
            </w:r>
          </w:p>
        </w:tc>
        <w:tc>
          <w:tcPr>
            <w:tcW w:w="3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Název podskupiny v ESCO</w:t>
            </w:r>
          </w:p>
        </w:tc>
        <w:tc>
          <w:tcPr>
            <w:tcW w:w="3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URL - podskupiny v ESCO</w:t>
            </w:r>
          </w:p>
        </w:tc>
      </w:tr>
      <w:tr>
        <w:trPr/>
        <w:tc>
          <w:tcPr>
            <w:tcW w:w="3000" w:type="dxa"/>
          </w:tcPr>
          <w:p>
            <w:pPr/>
            <w:r>
              <w:rPr/>
              <w:t xml:space="preserve">3122</w:t>
            </w:r>
          </w:p>
        </w:tc>
        <w:tc>
          <w:tcPr>
            <w:tcW w:w="3000" w:type="dxa"/>
          </w:tcPr>
          <w:p>
            <w:pPr/>
            <w:r>
              <w:rPr/>
              <w:t xml:space="preserve">Mistři a příbuzní pracovníci ve výrobě</w:t>
            </w:r>
          </w:p>
        </w:tc>
        <w:tc>
          <w:tcPr>
            <w:tcW w:w="3000" w:type="dxa"/>
          </w:tcPr>
          <w:p>
            <w:pPr/>
            <w:r>
              <w:rPr/>
              <w:t xml:space="preserve">http://data.europa.eu/esco/isco/C3122</w:t>
            </w:r>
          </w:p>
        </w:tc>
      </w:tr>
    </w:tbl>
    <w:p/>
    <w:p/>
    <w:p/>
    <w:p>
      <w:pPr>
        <w:pStyle w:val="Heading2"/>
      </w:pPr>
      <w:bookmarkStart w:id="8" w:name="_Toc8"/>
      <w:r>
        <w:t>Pracovní podmínky</w:t>
      </w:r>
      <w:bookmarkEnd w:id="8"/>
    </w:p>
    <w:tbl>
      <w:tblGrid>
        <w:gridCol w:w="5000" w:type="dxa"/>
        <w:gridCol w:w="1000" w:type="dxa"/>
        <w:gridCol w:w="1000" w:type="dxa"/>
        <w:gridCol w:w="1000" w:type="dxa"/>
        <w:gridCol w:w="1000" w:type="dxa"/>
      </w:tblGrid>
      <w:tblPr>
        <w:jc w:val="start"/>
        <w:tblW w:w="0" w:type="auto"/>
        <w:tblCellSpacing w:w="50" w:type="dxa"/>
        <w:tblLayout w:type="autofit"/>
        <w:bidiVisual w:val="0"/>
        <w:tblCellMar>
          <w:top w:w="80" w:type="dxa"/>
          <w:left w:w="80" w:type="dxa"/>
          <w:right w:w="80" w:type="dxa"/>
          <w:bottom w:w="80" w:type="dxa"/>
        </w:tblCellMar>
      </w:tblPr>
      <w:tr>
        <w:trPr/>
        <w:tc>
          <w:tcPr>
            <w:tcW w:w="5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Název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1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2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3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4</w:t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Zvýšené riziko úrazu pracovníka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Zvýšené riziko obecného ohrožení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Celková fyzická zátěž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Zraková zátěž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Zátěž chladem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Zátěž hlukem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Zátěž vibracemi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Zátěž prachem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Zátěž chemickými látkami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Zátěž invazivními alergeny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Zátěž biologickými činiteli způsobujícími onemocnění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Zátěž ionizujícím zářením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Zátěž neionizujícím zářením a elektromagnetickým polem včetně laserů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Pracovní doba, směnnost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Zátěž teplem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Zátěž trupu a páteře s převahou statické práce (manipulace s břemeny)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Lokální zátěž - zátěž malých svalových skupin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Lokální zátěž jemné motoriky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Zátěž prací v omezeném nebo uzavřeném prostoru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Zátěž prací v nevhodných pracovních polohách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Práce ve výškách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Duševní zátěž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</w:tbl>
    <w:p/>
    <w:p>
      <w:pPr/>
      <w:r>
        <w:rPr>
          <w:sz w:val="16"/>
          <w:szCs w:val="16"/>
          <w:i w:val="1"/>
          <w:iCs w:val="1"/>
        </w:rPr>
        <w:t xml:space="preserve">Legenda:</w:t>
      </w:r>
    </w:p>
    <w:p>
      <w:pPr>
        <w:numPr>
          <w:ilvl w:val="0"/>
          <w:numId w:val="5"/>
        </w:numPr>
      </w:pPr>
      <w:r>
        <w:rPr>
          <w:sz w:val="16"/>
          <w:szCs w:val="16"/>
          <w:i w:val="1"/>
          <w:iCs w:val="1"/>
        </w:rPr>
        <w:t xml:space="preserve">1. Stupeň zátěže (minimální zdravotní riziko) - Faktor se při výkonu práce nevyskytuje nebo je zátěž faktorem minimální, vliv faktoru je ze zdravotního hlediska nevýznamný.</w:t>
      </w:r>
    </w:p>
    <w:p>
      <w:pPr>
        <w:numPr>
          <w:ilvl w:val="0"/>
          <w:numId w:val="5"/>
        </w:numPr>
      </w:pPr>
      <w:r>
        <w:rPr>
          <w:sz w:val="16"/>
          <w:szCs w:val="16"/>
          <w:i w:val="1"/>
          <w:iCs w:val="1"/>
        </w:rPr>
        <w:t xml:space="preserve">2. Stupeň zátěže (únosná míra zdravotního rizika) - Ze zdravotního hlediska je míra zátěže faktorem únosná, nepřekračuje limity stanovené předpisy, vliv faktoru je akceptovatelný pro zdravého člověka.</w:t>
      </w:r>
    </w:p>
    <w:p>
      <w:pPr>
        <w:numPr>
          <w:ilvl w:val="0"/>
          <w:numId w:val="5"/>
        </w:numPr>
      </w:pPr>
      <w:r>
        <w:rPr>
          <w:sz w:val="16"/>
          <w:szCs w:val="16"/>
          <w:i w:val="1"/>
          <w:iCs w:val="1"/>
        </w:rPr>
        <w:t xml:space="preserve">3. Stupeň zátěže (významná míra zdravotního rizika) - Úroveň zátěže překračuje stanovené limitní hodnoty expozice (zátěže), na pracovištích je nutná realizace náhradních technických a organizačních opatření, nelze vyloučit negativní vliv na zdraví pracovníků.</w:t>
      </w:r>
    </w:p>
    <w:p>
      <w:pPr>
        <w:numPr>
          <w:ilvl w:val="0"/>
          <w:numId w:val="5"/>
        </w:numPr>
      </w:pPr>
      <w:r>
        <w:rPr>
          <w:sz w:val="16"/>
          <w:szCs w:val="16"/>
          <w:i w:val="1"/>
          <w:iCs w:val="1"/>
        </w:rPr>
        <w:t xml:space="preserve">4. Stupeň zátěže (vysoká míra zdravotního rizika) - Úroveň zátěže vysoce překračuje stanovené limitní hodnoty expozice, na pracovištích musí být dodržován soubor preventivních opatření, častěji dochází k poškození zdraví.</w:t>
      </w:r>
    </w:p>
    <w:p/>
    <w:p/>
    <w:p>
      <w:pPr>
        <w:pStyle w:val="Heading2"/>
      </w:pPr>
      <w:bookmarkStart w:id="9" w:name="_Toc9"/>
      <w:r>
        <w:t>Kvalifikace k výkonu povolání</w:t>
      </w:r>
      <w:bookmarkEnd w:id="9"/>
    </w:p>
    <w:p>
      <w:pPr>
        <w:pStyle w:val="Heading3"/>
      </w:pPr>
      <w:bookmarkStart w:id="10" w:name="_Toc10"/>
      <w:r>
        <w:t>Školní vzdělání</w:t>
      </w:r>
      <w:bookmarkEnd w:id="10"/>
    </w:p>
    <w:p/>
    <w:p>
      <w:pPr>
        <w:pStyle w:val="Heading4"/>
      </w:pPr>
      <w:bookmarkStart w:id="11" w:name="_Toc11"/>
      <w:r>
        <w:t>Nejvhodnější školní přípravu poskytují obory:</w:t>
      </w:r>
      <w:bookmarkEnd w:id="11"/>
    </w:p>
    <w:tbl>
      <w:tblGrid>
        <w:gridCol w:w="2000" w:type="dxa"/>
        <w:gridCol w:w="5000" w:type="dxa"/>
        <w:gridCol w:w="2000" w:type="dxa"/>
      </w:tblGrid>
      <w:tblPr>
        <w:jc w:val="start"/>
        <w:tblW w:w="0" w:type="auto"/>
        <w:tblCellSpacing w:w="50" w:type="dxa"/>
        <w:tblLayout w:type="autofit"/>
        <w:bidiVisual w:val="0"/>
        <w:tblCellMar>
          <w:top w:w="80" w:type="dxa"/>
          <w:left w:w="80" w:type="dxa"/>
          <w:right w:w="80" w:type="dxa"/>
          <w:bottom w:w="80" w:type="dxa"/>
        </w:tblCellMar>
      </w:tblPr>
      <w:tr>
        <w:trPr/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Typ</w:t>
            </w:r>
          </w:p>
        </w:tc>
        <w:tc>
          <w:tcPr>
            <w:tcW w:w="5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Název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Kód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KKOV</w:t>
            </w:r>
          </w:p>
        </w:tc>
        <w:tc>
          <w:tcPr>
            <w:tcW w:w="5000" w:type="dxa"/>
          </w:tcPr>
          <w:p>
            <w:pPr/>
            <w:r>
              <w:rPr/>
              <w:t xml:space="preserve">Střední vzdělání s maturitní zkouškou (bez vyučení) v oboru chemická technologie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2841M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KKOV</w:t>
            </w:r>
          </w:p>
        </w:tc>
        <w:tc>
          <w:tcPr>
            <w:tcW w:w="5000" w:type="dxa"/>
          </w:tcPr>
          <w:p>
            <w:pPr/>
            <w:r>
              <w:rPr/>
              <w:t xml:space="preserve">Střední vzdělání s maturitní zkouškou v oboru dopravní a vodohospodářské stavitelství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3642L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KKOV</w:t>
            </w:r>
          </w:p>
        </w:tc>
        <w:tc>
          <w:tcPr>
            <w:tcW w:w="5000" w:type="dxa"/>
          </w:tcPr>
          <w:p>
            <w:pPr/>
            <w:r>
              <w:rPr/>
              <w:t xml:space="preserve">Střední vzdělání s maturitní zkouškou (bez vyučení) v oboru dopravní a vodohospodářské stavitelství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3642M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RVP</w:t>
            </w:r>
          </w:p>
        </w:tc>
        <w:tc>
          <w:tcPr>
            <w:tcW w:w="5000" w:type="dxa"/>
          </w:tcPr>
          <w:p>
            <w:pPr/>
            <w:r>
              <w:rPr/>
              <w:t xml:space="preserve">Technická zařízení budov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36-45-M/01</w:t>
            </w:r>
          </w:p>
        </w:tc>
      </w:tr>
    </w:tbl>
    <w:p/>
    <w:p>
      <w:pPr>
        <w:pStyle w:val="Heading4"/>
      </w:pPr>
      <w:bookmarkStart w:id="12" w:name="_Toc12"/>
      <w:r>
        <w:t>Vhodnou školní přípravu poskytují také obory:</w:t>
      </w:r>
      <w:bookmarkEnd w:id="12"/>
    </w:p>
    <w:tbl>
      <w:tblGrid>
        <w:gridCol w:w="2000" w:type="dxa"/>
        <w:gridCol w:w="5000" w:type="dxa"/>
        <w:gridCol w:w="2000" w:type="dxa"/>
      </w:tblGrid>
      <w:tblPr>
        <w:jc w:val="start"/>
        <w:tblW w:w="0" w:type="auto"/>
        <w:tblCellSpacing w:w="50" w:type="dxa"/>
        <w:tblLayout w:type="autofit"/>
        <w:bidiVisual w:val="0"/>
        <w:tblCellMar>
          <w:top w:w="80" w:type="dxa"/>
          <w:left w:w="80" w:type="dxa"/>
          <w:right w:w="80" w:type="dxa"/>
          <w:bottom w:w="80" w:type="dxa"/>
        </w:tblCellMar>
      </w:tblPr>
      <w:tr>
        <w:trPr/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Typ</w:t>
            </w:r>
          </w:p>
        </w:tc>
        <w:tc>
          <w:tcPr>
            <w:tcW w:w="5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Název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Kód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KKOV</w:t>
            </w:r>
          </w:p>
        </w:tc>
        <w:tc>
          <w:tcPr>
            <w:tcW w:w="5000" w:type="dxa"/>
          </w:tcPr>
          <w:p>
            <w:pPr/>
            <w:r>
              <w:rPr/>
              <w:t xml:space="preserve">Střední vzdělání s maturitní zkouškou (bez vyučení) ve skupině oborů elektrotechnika, telekomunikační a výpočetní technika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26xxM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KKOV</w:t>
            </w:r>
          </w:p>
        </w:tc>
        <w:tc>
          <w:tcPr>
            <w:tcW w:w="5000" w:type="dxa"/>
          </w:tcPr>
          <w:p>
            <w:pPr/>
            <w:r>
              <w:rPr/>
              <w:t xml:space="preserve">Střední vzdělání s maturitní zkouškou (bez vyučení) v oboru aplikovaná chemie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2844M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KKOV</w:t>
            </w:r>
          </w:p>
        </w:tc>
        <w:tc>
          <w:tcPr>
            <w:tcW w:w="5000" w:type="dxa"/>
          </w:tcPr>
          <w:p>
            <w:pPr/>
            <w:r>
              <w:rPr/>
              <w:t xml:space="preserve">Střední vzdělání s maturitní zkouškou ve skupině oborů elektrotechnika, telekomunikační a výpočetní technika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26xxL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KKOV</w:t>
            </w:r>
          </w:p>
        </w:tc>
        <w:tc>
          <w:tcPr>
            <w:tcW w:w="5000" w:type="dxa"/>
          </w:tcPr>
          <w:p>
            <w:pPr/>
            <w:r>
              <w:rPr/>
              <w:t xml:space="preserve">Střední vzdělání s maturitní zkouškou (bez vyučení) ve skupině oborů strojírenství a strojírenská výroba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23xxM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KKOV</w:t>
            </w:r>
          </w:p>
        </w:tc>
        <w:tc>
          <w:tcPr>
            <w:tcW w:w="5000" w:type="dxa"/>
          </w:tcPr>
          <w:p>
            <w:pPr/>
            <w:r>
              <w:rPr/>
              <w:t xml:space="preserve">Střední vzdělání s maturitní zkouškou ve skupině oborů strojírenství a strojírenská výroba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23xxL</w:t>
            </w:r>
          </w:p>
        </w:tc>
      </w:tr>
    </w:tbl>
    <w:p/>
    <w:p>
      <w:pPr>
        <w:pStyle w:val="Heading3"/>
      </w:pPr>
      <w:bookmarkStart w:id="13" w:name="_Toc13"/>
      <w:r>
        <w:t>Další vzdělání</w:t>
      </w:r>
      <w:bookmarkEnd w:id="13"/>
    </w:p>
    <w:p>
      <w:pPr>
        <w:pStyle w:val="Heading4"/>
      </w:pPr>
      <w:bookmarkStart w:id="14" w:name="_Toc14"/>
      <w:r>
        <w:t>Profesní kvalifikace</w:t>
      </w:r>
      <w:bookmarkEnd w:id="14"/>
    </w:p>
    <w:p>
      <w:pPr>
        <w:numPr>
          <w:ilvl w:val="0"/>
          <w:numId w:val="5"/>
        </w:numPr>
      </w:pPr>
      <w:r>
        <w:rPr/>
        <w:t xml:space="preserve">Technik/technička úpravy vody (36-140-M)</w:t>
      </w:r>
    </w:p>
    <w:p/>
    <w:p/>
    <w:p>
      <w:pPr>
        <w:pStyle w:val="Heading2"/>
      </w:pPr>
      <w:bookmarkStart w:id="15" w:name="_Toc15"/>
      <w:r>
        <w:t>Kompetenční požadavky</w:t>
      </w:r>
      <w:bookmarkEnd w:id="15"/>
    </w:p>
    <w:p>
      <w:pPr>
        <w:pStyle w:val="Heading3"/>
      </w:pPr>
      <w:bookmarkStart w:id="16" w:name="_Toc16"/>
      <w:r>
        <w:t>Odborné dovednosti</w:t>
      </w:r>
      <w:bookmarkEnd w:id="16"/>
    </w:p>
    <w:tbl>
      <w:tblGrid>
        <w:gridCol w:w="2000" w:type="dxa"/>
        <w:gridCol w:w="3000" w:type="dxa"/>
        <w:gridCol w:w="2000" w:type="dxa"/>
        <w:gridCol w:w="2000" w:type="dxa"/>
      </w:tblGrid>
      <w:tblPr>
        <w:jc w:val="start"/>
        <w:tblW w:w="0" w:type="auto"/>
        <w:tblCellSpacing w:w="50" w:type="dxa"/>
        <w:tblLayout w:type="autofit"/>
        <w:bidiVisual w:val="0"/>
        <w:tblCellMar>
          <w:top w:w="80" w:type="dxa"/>
          <w:left w:w="80" w:type="dxa"/>
          <w:right w:w="80" w:type="dxa"/>
          <w:bottom w:w="80" w:type="dxa"/>
        </w:tblCellMar>
      </w:tblPr>
      <w:tr>
        <w:trPr/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Kód</w:t>
            </w:r>
          </w:p>
        </w:tc>
        <w:tc>
          <w:tcPr>
            <w:tcW w:w="3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Název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Úroveň 1-8</w:t>
            </w:r>
          </w:p>
        </w:tc>
        <w:tc>
          <w:tcPr>
            <w:tcW w:w="2000" w:type="dxa"/>
          </w:tcPr>
          <w:p>
            <w:pPr/>
            <w:r>
              <w:rPr>
                <w:b w:val="1"/>
                <w:bCs w:val="1"/>
              </w:rPr>
              <w:t xml:space="preserve">Vhodnost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f25.D.2512</w:t>
            </w:r>
          </w:p>
        </w:tc>
        <w:tc>
          <w:tcPr>
            <w:tcW w:w="3000" w:type="dxa"/>
          </w:tcPr>
          <w:p>
            <w:pPr/>
            <w:r>
              <w:rPr/>
              <w:t xml:space="preserve">Zpracovávání manipulačních řádů vodních děl a vodohospodářských soustav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Výhodné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f13.D.3322</w:t>
            </w:r>
          </w:p>
        </w:tc>
        <w:tc>
          <w:tcPr>
            <w:tcW w:w="3000" w:type="dxa"/>
          </w:tcPr>
          <w:p>
            <w:pPr/>
            <w:r>
              <w:rPr/>
              <w:t xml:space="preserve">Vyhodnocování ukazatelů technologie úpravy vody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5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f13.Z.1315</w:t>
            </w:r>
          </w:p>
        </w:tc>
        <w:tc>
          <w:tcPr>
            <w:tcW w:w="3000" w:type="dxa"/>
          </w:tcPr>
          <w:p>
            <w:pPr/>
            <w:r>
              <w:rPr/>
              <w:t xml:space="preserve">Organizace práce a operativní řízení provozu úpravny vody, zajišťování úkolů stanovených operativním plánem výroby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5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f13.Z.4318</w:t>
            </w:r>
          </w:p>
        </w:tc>
        <w:tc>
          <w:tcPr>
            <w:tcW w:w="3000" w:type="dxa"/>
          </w:tcPr>
          <w:p>
            <w:pPr/>
            <w:r>
              <w:rPr/>
              <w:t xml:space="preserve">Zajišťování provádění pravidelných laboratorních rozborů vody v úpravně vody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5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Výhodné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f13.D.3337</w:t>
            </w:r>
          </w:p>
        </w:tc>
        <w:tc>
          <w:tcPr>
            <w:tcW w:w="3000" w:type="dxa"/>
          </w:tcPr>
          <w:p>
            <w:pPr/>
            <w:r>
              <w:rPr/>
              <w:t xml:space="preserve">Kontrola dodržování bezpečnosti a ochrany zdraví při práci a požární ochrany při úpravě vody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f25.D.1001</w:t>
            </w:r>
          </w:p>
        </w:tc>
        <w:tc>
          <w:tcPr>
            <w:tcW w:w="3000" w:type="dxa"/>
          </w:tcPr>
          <w:p>
            <w:pPr/>
            <w:r>
              <w:rPr/>
              <w:t xml:space="preserve">Orientace ve vodohospodářských normách a dokumentaci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f13.D.2316</w:t>
            </w:r>
          </w:p>
        </w:tc>
        <w:tc>
          <w:tcPr>
            <w:tcW w:w="3000" w:type="dxa"/>
          </w:tcPr>
          <w:p>
            <w:pPr/>
            <w:r>
              <w:rPr/>
              <w:t xml:space="preserve">Zpracování výrobního a provozního plánu úpravny vody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f13.Z.4312</w:t>
            </w:r>
          </w:p>
        </w:tc>
        <w:tc>
          <w:tcPr>
            <w:tcW w:w="3000" w:type="dxa"/>
          </w:tcPr>
          <w:p>
            <w:pPr/>
            <w:r>
              <w:rPr/>
              <w:t xml:space="preserve">Spolupráce se samosprávními orgány v rámci zajišťování provozu úpravny vody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f13.D.8311</w:t>
            </w:r>
          </w:p>
        </w:tc>
        <w:tc>
          <w:tcPr>
            <w:tcW w:w="3000" w:type="dxa"/>
          </w:tcPr>
          <w:p>
            <w:pPr/>
            <w:r>
              <w:rPr/>
              <w:t xml:space="preserve">Vedení dokumentace o řízení a provozu úpravny vody a o zajišťování úkolů stanovených operativním plánem výroby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</w:tbl>
    <w:p>
      <w:pPr/>
      <w:r>
        <w:rPr>
          <w:sz w:val="16"/>
          <w:szCs w:val="16"/>
          <w:i w:val="1"/>
          <w:iCs w:val="1"/>
        </w:rPr>
        <w:t xml:space="preserve">Popisy úrovní naleznete zde: https://nsp.cz/downloads/Priloha_c2_manualu.pdf</w:t>
      </w:r>
    </w:p>
    <w:p/>
    <w:p>
      <w:pPr>
        <w:pStyle w:val="Heading3"/>
      </w:pPr>
      <w:bookmarkStart w:id="17" w:name="_Toc17"/>
      <w:r>
        <w:t>Odborné znalosti</w:t>
      </w:r>
      <w:bookmarkEnd w:id="17"/>
    </w:p>
    <w:tbl>
      <w:tblGrid>
        <w:gridCol w:w="2000" w:type="dxa"/>
        <w:gridCol w:w="3000" w:type="dxa"/>
        <w:gridCol w:w="2000" w:type="dxa"/>
        <w:gridCol w:w="2000" w:type="dxa"/>
      </w:tblGrid>
      <w:tblPr>
        <w:jc w:val="start"/>
        <w:tblW w:w="0" w:type="auto"/>
        <w:tblCellSpacing w:w="50" w:type="dxa"/>
        <w:tblLayout w:type="autofit"/>
        <w:bidiVisual w:val="0"/>
        <w:tblCellMar>
          <w:top w:w="80" w:type="dxa"/>
          <w:left w:w="80" w:type="dxa"/>
          <w:right w:w="80" w:type="dxa"/>
          <w:bottom w:w="80" w:type="dxa"/>
        </w:tblCellMar>
      </w:tblPr>
      <w:tr>
        <w:trPr/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Kód</w:t>
            </w:r>
          </w:p>
        </w:tc>
        <w:tc>
          <w:tcPr>
            <w:tcW w:w="3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Název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Úroveň 1-8</w:t>
            </w:r>
          </w:p>
        </w:tc>
        <w:tc>
          <w:tcPr>
            <w:tcW w:w="2000" w:type="dxa"/>
          </w:tcPr>
          <w:p>
            <w:pPr/>
            <w:r>
              <w:rPr>
                <w:b w:val="1"/>
                <w:bCs w:val="1"/>
              </w:rPr>
              <w:t xml:space="preserve">Vhodnost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f21._.0024</w:t>
            </w:r>
          </w:p>
        </w:tc>
        <w:tc>
          <w:tcPr>
            <w:tcW w:w="3000" w:type="dxa"/>
          </w:tcPr>
          <w:p>
            <w:pPr/>
            <w:r>
              <w:rPr/>
              <w:t xml:space="preserve">příčiny a řešení havarijních situací ohrožujících životní prostředí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f21._.0022</w:t>
            </w:r>
          </w:p>
        </w:tc>
        <w:tc>
          <w:tcPr>
            <w:tcW w:w="3000" w:type="dxa"/>
          </w:tcPr>
          <w:p>
            <w:pPr/>
            <w:r>
              <w:rPr/>
              <w:t xml:space="preserve">hygienické normy a směrnice v oblasti životního prostředí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f21._.0015</w:t>
            </w:r>
          </w:p>
        </w:tc>
        <w:tc>
          <w:tcPr>
            <w:tcW w:w="3000" w:type="dxa"/>
          </w:tcPr>
          <w:p>
            <w:pPr/>
            <w:r>
              <w:rPr/>
              <w:t xml:space="preserve">ochrana půdy a vod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f22._.0002</w:t>
            </w:r>
          </w:p>
        </w:tc>
        <w:tc>
          <w:tcPr>
            <w:tcW w:w="3000" w:type="dxa"/>
          </w:tcPr>
          <w:p>
            <w:pPr/>
            <w:r>
              <w:rPr/>
              <w:t xml:space="preserve">nakládání s odpady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f25._.0011</w:t>
            </w:r>
          </w:p>
        </w:tc>
        <w:tc>
          <w:tcPr>
            <w:tcW w:w="3000" w:type="dxa"/>
          </w:tcPr>
          <w:p>
            <w:pPr/>
            <w:r>
              <w:rPr/>
              <w:t xml:space="preserve">vodní hospodářství (fungování, organizace, součásti, principy, legislativa)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f25._.0013</w:t>
            </w:r>
          </w:p>
        </w:tc>
        <w:tc>
          <w:tcPr>
            <w:tcW w:w="3000" w:type="dxa"/>
          </w:tcPr>
          <w:p>
            <w:pPr/>
            <w:r>
              <w:rPr/>
              <w:t xml:space="preserve">manipulační a provozní řády na vodních dílech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Výhodné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f25._.0002</w:t>
            </w:r>
          </w:p>
        </w:tc>
        <w:tc>
          <w:tcPr>
            <w:tcW w:w="3000" w:type="dxa"/>
          </w:tcPr>
          <w:p>
            <w:pPr/>
            <w:r>
              <w:rPr/>
              <w:t xml:space="preserve">hygienická ochrana vody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f25._.0021</w:t>
            </w:r>
          </w:p>
        </w:tc>
        <w:tc>
          <w:tcPr>
            <w:tcW w:w="3000" w:type="dxa"/>
          </w:tcPr>
          <w:p>
            <w:pPr/>
            <w:r>
              <w:rPr/>
              <w:t xml:space="preserve">manipulační a provozní řády vodohospodářských úseků průmyslových podniků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Výhodné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f25._.0022</w:t>
            </w:r>
          </w:p>
        </w:tc>
        <w:tc>
          <w:tcPr>
            <w:tcW w:w="3000" w:type="dxa"/>
          </w:tcPr>
          <w:p>
            <w:pPr/>
            <w:r>
              <w:rPr/>
              <w:t xml:space="preserve">zásady a předpisy pro řešení vodních havárií v průmyslových a dalších objektech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f13._.0051</w:t>
            </w:r>
          </w:p>
        </w:tc>
        <w:tc>
          <w:tcPr>
            <w:tcW w:w="3000" w:type="dxa"/>
          </w:tcPr>
          <w:p>
            <w:pPr/>
            <w:r>
              <w:rPr/>
              <w:t xml:space="preserve">technologie úpravy vody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f25._.0032</w:t>
            </w:r>
          </w:p>
        </w:tc>
        <w:tc>
          <w:tcPr>
            <w:tcW w:w="3000" w:type="dxa"/>
          </w:tcPr>
          <w:p>
            <w:pPr/>
            <w:r>
              <w:rPr/>
              <w:t xml:space="preserve">měřicí a další zařízení vodohospodářských soustav ve vodárnách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f25._.0031</w:t>
            </w:r>
          </w:p>
        </w:tc>
        <w:tc>
          <w:tcPr>
            <w:tcW w:w="3000" w:type="dxa"/>
          </w:tcPr>
          <w:p>
            <w:pPr/>
            <w:r>
              <w:rPr/>
              <w:t xml:space="preserve">vodárny, úpravny vod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f25._.0001</w:t>
            </w:r>
          </w:p>
        </w:tc>
        <w:tc>
          <w:tcPr>
            <w:tcW w:w="3000" w:type="dxa"/>
          </w:tcPr>
          <w:p>
            <w:pPr/>
            <w:r>
              <w:rPr/>
              <w:t xml:space="preserve">ekologie se zaměřením na vodní hospodářství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Výhodné</w:t>
            </w:r>
          </w:p>
        </w:tc>
      </w:tr>
    </w:tbl>
    <w:p>
      <w:pPr/>
      <w:r>
        <w:rPr>
          <w:sz w:val="16"/>
          <w:szCs w:val="16"/>
          <w:i w:val="1"/>
          <w:iCs w:val="1"/>
        </w:rPr>
        <w:t xml:space="preserve">Popisy úrovní naleznete zde: https://nsp.cz/downloads/Priloha_c2_manualu.pdf</w:t>
      </w:r>
    </w:p>
    <w:p/>
    <w:p>
      <w:pPr>
        <w:pStyle w:val="Heading3"/>
      </w:pPr>
      <w:bookmarkStart w:id="18" w:name="_Toc18"/>
      <w:r>
        <w:t>Obecné dovednosti</w:t>
      </w:r>
      <w:bookmarkEnd w:id="18"/>
    </w:p>
    <w:tbl>
      <w:tblGrid>
        <w:gridCol w:w="2000" w:type="dxa"/>
        <w:gridCol w:w="5000" w:type="dxa"/>
        <w:gridCol w:w="2000" w:type="dxa"/>
      </w:tblGrid>
      <w:tblPr>
        <w:jc w:val="start"/>
        <w:tblW w:w="0" w:type="auto"/>
        <w:tblCellSpacing w:w="50" w:type="dxa"/>
        <w:tblLayout w:type="autofit"/>
        <w:bidiVisual w:val="0"/>
        <w:tblCellMar>
          <w:top w:w="80" w:type="dxa"/>
          <w:left w:w="80" w:type="dxa"/>
          <w:right w:w="80" w:type="dxa"/>
          <w:bottom w:w="80" w:type="dxa"/>
        </w:tblCellMar>
      </w:tblPr>
      <w:tr>
        <w:trPr/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Kód</w:t>
            </w:r>
          </w:p>
        </w:tc>
        <w:tc>
          <w:tcPr>
            <w:tcW w:w="5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Název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Úroveň 0-3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b01</w:t>
            </w:r>
          </w:p>
        </w:tc>
        <w:tc>
          <w:tcPr>
            <w:tcW w:w="5000" w:type="dxa"/>
          </w:tcPr>
          <w:p>
            <w:pPr/>
            <w:r>
              <w:rPr/>
              <w:t xml:space="preserve">Počítačová způsobilost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2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b02</w:t>
            </w:r>
          </w:p>
        </w:tc>
        <w:tc>
          <w:tcPr>
            <w:tcW w:w="5000" w:type="dxa"/>
          </w:tcPr>
          <w:p>
            <w:pPr/>
            <w:r>
              <w:rPr/>
              <w:t xml:space="preserve">Způsobilost k řízení osobního automobilu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2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b03</w:t>
            </w:r>
          </w:p>
        </w:tc>
        <w:tc>
          <w:tcPr>
            <w:tcW w:w="5000" w:type="dxa"/>
          </w:tcPr>
          <w:p>
            <w:pPr/>
            <w:r>
              <w:rPr/>
              <w:t xml:space="preserve">Numerická způsobilost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2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b04</w:t>
            </w:r>
          </w:p>
        </w:tc>
        <w:tc>
          <w:tcPr>
            <w:tcW w:w="5000" w:type="dxa"/>
          </w:tcPr>
          <w:p>
            <w:pPr/>
            <w:r>
              <w:rPr/>
              <w:t xml:space="preserve">Ekonomické povědomí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2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b05</w:t>
            </w:r>
          </w:p>
        </w:tc>
        <w:tc>
          <w:tcPr>
            <w:tcW w:w="5000" w:type="dxa"/>
          </w:tcPr>
          <w:p>
            <w:pPr/>
            <w:r>
              <w:rPr/>
              <w:t xml:space="preserve">Právní povědomí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2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b06</w:t>
            </w:r>
          </w:p>
        </w:tc>
        <w:tc>
          <w:tcPr>
            <w:tcW w:w="5000" w:type="dxa"/>
          </w:tcPr>
          <w:p>
            <w:pPr/>
            <w:r>
              <w:rPr/>
              <w:t xml:space="preserve">Jazyková způsobilost v češtině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2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b07</w:t>
            </w:r>
          </w:p>
        </w:tc>
        <w:tc>
          <w:tcPr>
            <w:tcW w:w="5000" w:type="dxa"/>
          </w:tcPr>
          <w:p>
            <w:pPr/>
            <w:r>
              <w:rPr/>
              <w:t xml:space="preserve">Jazyková způsobilost v angličtině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0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b08</w:t>
            </w:r>
          </w:p>
        </w:tc>
        <w:tc>
          <w:tcPr>
            <w:tcW w:w="5000" w:type="dxa"/>
          </w:tcPr>
          <w:p>
            <w:pPr/>
            <w:r>
              <w:rPr/>
              <w:t xml:space="preserve">Jazyková způsobilost v dalším cizím jazyce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0</w:t>
            </w:r>
          </w:p>
        </w:tc>
      </w:tr>
    </w:tbl>
    <w:p>
      <w:pPr/>
      <w:r>
        <w:rPr>
          <w:sz w:val="16"/>
          <w:szCs w:val="16"/>
          <w:i w:val="1"/>
          <w:iCs w:val="1"/>
        </w:rPr>
        <w:t xml:space="preserve">Popisy úrovní naleznete zde: https://nsp.cz/downloads/Priloha_c10_manualu.pdf</w:t>
      </w:r>
    </w:p>
    <w:p/>
    <w:p>
      <w:pPr/>
      <w:r>
        <w:rPr>
          <w:sz w:val="16"/>
          <w:szCs w:val="16"/>
          <w:i w:val="1"/>
          <w:iCs w:val="1"/>
        </w:rPr>
        <w:t xml:space="preserve">Popisy úrovní naleznete zde: https://nsp.cz/downloads/Priloha_c15_manualu.pdf</w:t>
      </w:r>
    </w:p>
    <w:p/>
    <w:p>
      <w:pPr>
        <w:pStyle w:val="Heading3"/>
      </w:pPr>
      <w:bookmarkStart w:id="19" w:name="_Toc19"/>
      <w:r>
        <w:t>Měkké kompetence</w:t>
      </w:r>
      <w:bookmarkEnd w:id="19"/>
    </w:p>
    <w:tbl>
      <w:tblGrid>
        <w:gridCol w:w="2000" w:type="dxa"/>
        <w:gridCol w:w="5000" w:type="dxa"/>
        <w:gridCol w:w="2000" w:type="dxa"/>
      </w:tblGrid>
      <w:tblPr>
        <w:jc w:val="start"/>
        <w:tblW w:w="0" w:type="auto"/>
        <w:tblCellSpacing w:w="50" w:type="dxa"/>
        <w:tblLayout w:type="autofit"/>
        <w:bidiVisual w:val="0"/>
        <w:tblCellMar>
          <w:top w:w="80" w:type="dxa"/>
          <w:left w:w="80" w:type="dxa"/>
          <w:right w:w="80" w:type="dxa"/>
          <w:bottom w:w="80" w:type="dxa"/>
        </w:tblCellMar>
      </w:tblPr>
      <w:tr>
        <w:trPr/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Kód</w:t>
            </w:r>
          </w:p>
        </w:tc>
        <w:tc>
          <w:tcPr>
            <w:tcW w:w="5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Název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Úroveň 0-5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2.1</w:t>
            </w:r>
          </w:p>
        </w:tc>
        <w:tc>
          <w:tcPr>
            <w:tcW w:w="5000" w:type="dxa"/>
          </w:tcPr>
          <w:p>
            <w:pPr/>
            <w:r>
              <w:rPr/>
              <w:t xml:space="preserve">Kompetence k efektivní komunikaci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2.6</w:t>
            </w:r>
          </w:p>
        </w:tc>
        <w:tc>
          <w:tcPr>
            <w:tcW w:w="5000" w:type="dxa"/>
          </w:tcPr>
          <w:p>
            <w:pPr/>
            <w:r>
              <w:rPr/>
              <w:t xml:space="preserve">Kompetence k vedení lidí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2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3.3</w:t>
            </w:r>
          </w:p>
        </w:tc>
        <w:tc>
          <w:tcPr>
            <w:tcW w:w="5000" w:type="dxa"/>
          </w:tcPr>
          <w:p>
            <w:pPr/>
            <w:r>
              <w:rPr/>
              <w:t xml:space="preserve">Kompetence k objevování a orientaci v informacích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2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1.4</w:t>
            </w:r>
          </w:p>
        </w:tc>
        <w:tc>
          <w:tcPr>
            <w:tcW w:w="5000" w:type="dxa"/>
          </w:tcPr>
          <w:p>
            <w:pPr/>
            <w:r>
              <w:rPr/>
              <w:t xml:space="preserve">Kompetence ke zvládání stresu a zátěže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4.1</w:t>
            </w:r>
          </w:p>
        </w:tc>
        <w:tc>
          <w:tcPr>
            <w:tcW w:w="5000" w:type="dxa"/>
          </w:tcPr>
          <w:p>
            <w:pPr/>
            <w:r>
              <w:rPr/>
              <w:t xml:space="preserve">Kompetence k aktivnímu přístupu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1.1</w:t>
            </w:r>
          </w:p>
        </w:tc>
        <w:tc>
          <w:tcPr>
            <w:tcW w:w="5000" w:type="dxa"/>
          </w:tcPr>
          <w:p>
            <w:pPr/>
            <w:r>
              <w:rPr/>
              <w:t xml:space="preserve">Kompetence k celoživotnímu vzdělávání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4.2</w:t>
            </w:r>
          </w:p>
        </w:tc>
        <w:tc>
          <w:tcPr>
            <w:tcW w:w="5000" w:type="dxa"/>
          </w:tcPr>
          <w:p>
            <w:pPr/>
            <w:r>
              <w:rPr/>
              <w:t xml:space="preserve">Kompetence k plánování a organizování práce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4.4</w:t>
            </w:r>
          </w:p>
        </w:tc>
        <w:tc>
          <w:tcPr>
            <w:tcW w:w="5000" w:type="dxa"/>
          </w:tcPr>
          <w:p>
            <w:pPr/>
            <w:r>
              <w:rPr/>
              <w:t xml:space="preserve">Kompetence k řešení problémů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4.5</w:t>
            </w:r>
          </w:p>
        </w:tc>
        <w:tc>
          <w:tcPr>
            <w:tcW w:w="5000" w:type="dxa"/>
          </w:tcPr>
          <w:p>
            <w:pPr/>
            <w:r>
              <w:rPr/>
              <w:t xml:space="preserve">Kompetence k samostatnosti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4.6</w:t>
            </w:r>
          </w:p>
        </w:tc>
        <w:tc>
          <w:tcPr>
            <w:tcW w:w="5000" w:type="dxa"/>
          </w:tcPr>
          <w:p>
            <w:pPr/>
            <w:r>
              <w:rPr/>
              <w:t xml:space="preserve">Kompetence k výkonnosti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2.3</w:t>
            </w:r>
          </w:p>
        </w:tc>
        <w:tc>
          <w:tcPr>
            <w:tcW w:w="5000" w:type="dxa"/>
          </w:tcPr>
          <w:p>
            <w:pPr/>
            <w:r>
              <w:rPr/>
              <w:t xml:space="preserve">Kompetence k orientaci na zákazníka a uspokojování zákaznických potřeb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1.2</w:t>
            </w:r>
          </w:p>
        </w:tc>
        <w:tc>
          <w:tcPr>
            <w:tcW w:w="5000" w:type="dxa"/>
          </w:tcPr>
          <w:p>
            <w:pPr/>
            <w:r>
              <w:rPr/>
              <w:t xml:space="preserve">Kompetence k flexibilitě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1.3</w:t>
            </w:r>
          </w:p>
        </w:tc>
        <w:tc>
          <w:tcPr>
            <w:tcW w:w="5000" w:type="dxa"/>
          </w:tcPr>
          <w:p>
            <w:pPr/>
            <w:r>
              <w:rPr/>
              <w:t xml:space="preserve">Kompetence ke kreativitě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2.2</w:t>
            </w:r>
          </w:p>
        </w:tc>
        <w:tc>
          <w:tcPr>
            <w:tcW w:w="5000" w:type="dxa"/>
          </w:tcPr>
          <w:p>
            <w:pPr/>
            <w:r>
              <w:rPr/>
              <w:t xml:space="preserve">Kompetence ke kooperaci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2.4</w:t>
            </w:r>
          </w:p>
        </w:tc>
        <w:tc>
          <w:tcPr>
            <w:tcW w:w="5000" w:type="dxa"/>
          </w:tcPr>
          <w:p>
            <w:pPr/>
            <w:r>
              <w:rPr/>
              <w:t xml:space="preserve">Kompetence k ovlivňování a rozvíjení ostatních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2</w:t>
            </w:r>
          </w:p>
        </w:tc>
      </w:tr>
    </w:tbl>
    <w:p>
      <w:pPr/>
      <w:r>
        <w:rPr>
          <w:sz w:val="16"/>
          <w:szCs w:val="16"/>
          <w:i w:val="1"/>
          <w:iCs w:val="1"/>
        </w:rPr>
        <w:t xml:space="preserve">Popisy úrovní naleznete zde: https://nsp.cz/downloads/Priloha_c9_manualu.pdf</w:t>
      </w:r>
    </w:p>
    <w:p/>
    <w:p>
      <w:pPr>
        <w:pStyle w:val="Heading2"/>
      </w:pPr>
      <w:bookmarkStart w:id="20" w:name="_Toc20"/>
      <w:r>
        <w:t>Zdravotní podmínky</w:t>
      </w:r>
      <w:bookmarkEnd w:id="20"/>
    </w:p>
    <w:p>
      <w:pPr>
        <w:pStyle w:val="Heading3"/>
      </w:pPr>
      <w:bookmarkStart w:id="21" w:name="_Toc21"/>
      <w:r>
        <w:t>Onemocnění omezující výkon povolání / specializace povolání.</w:t>
      </w:r>
      <w:bookmarkEnd w:id="21"/>
    </w:p>
    <w:p>
      <w:pPr>
        <w:numPr>
          <w:ilvl w:val="0"/>
          <w:numId w:val="5"/>
        </w:numPr>
      </w:pPr>
      <w:r>
        <w:rPr/>
        <w:t xml:space="preserve">Onemocnění oběhové soustavy</w:t>
      </w:r>
    </w:p>
    <w:p>
      <w:pPr>
        <w:numPr>
          <w:ilvl w:val="0"/>
          <w:numId w:val="5"/>
        </w:numPr>
      </w:pPr>
      <w:r>
        <w:rPr/>
        <w:t xml:space="preserve">Poruchy termoregulace</w:t>
      </w:r>
    </w:p>
    <w:p>
      <w:pPr>
        <w:numPr>
          <w:ilvl w:val="0"/>
          <w:numId w:val="5"/>
        </w:numPr>
      </w:pPr>
      <w:r>
        <w:rPr/>
        <w:t xml:space="preserve">Závažná onemocnění dýchacích cest a plic</w:t>
      </w:r>
    </w:p>
    <w:p>
      <w:pPr>
        <w:numPr>
          <w:ilvl w:val="0"/>
          <w:numId w:val="5"/>
        </w:numPr>
      </w:pPr>
      <w:r>
        <w:rPr/>
        <w:t xml:space="preserve">Závažná onemocnění ledvin, močových cest</w:t>
      </w:r>
    </w:p>
    <w:p>
      <w:pPr>
        <w:numPr>
          <w:ilvl w:val="0"/>
          <w:numId w:val="5"/>
        </w:numPr>
      </w:pPr>
      <w:r>
        <w:rPr/>
        <w:t xml:space="preserve">Chronické záněty středouší</w:t>
      </w:r>
    </w:p>
    <w:p>
      <w:pPr>
        <w:numPr>
          <w:ilvl w:val="0"/>
          <w:numId w:val="5"/>
        </w:numPr>
      </w:pPr>
      <w:r>
        <w:rPr/>
        <w:t xml:space="preserve">Závažná degenerativní a zánětlivá onemocnění pohybového systému</w:t>
      </w:r>
    </w:p>
    <w:p>
      <w:pPr>
        <w:numPr>
          <w:ilvl w:val="0"/>
          <w:numId w:val="5"/>
        </w:numPr>
      </w:pPr>
      <w:r>
        <w:rPr/>
        <w:t xml:space="preserve">Závažná orgánová onemocnění podle toxikologických vlastností látek</w:t>
      </w:r>
    </w:p>
    <w:p>
      <w:pPr>
        <w:numPr>
          <w:ilvl w:val="0"/>
          <w:numId w:val="5"/>
        </w:numPr>
      </w:pPr>
      <w:r>
        <w:rPr/>
        <w:t xml:space="preserve">Duševní poruchy</w:t>
      </w:r>
    </w:p>
    <w:p>
      <w:pPr>
        <w:numPr>
          <w:ilvl w:val="0"/>
          <w:numId w:val="5"/>
        </w:numPr>
      </w:pPr>
      <w:r>
        <w:rPr/>
        <w:t xml:space="preserve">Závažná psychosomatická onemocnění</w:t>
      </w:r>
    </w:p>
    <w:p>
      <w:pPr>
        <w:numPr>
          <w:ilvl w:val="0"/>
          <w:numId w:val="5"/>
        </w:numPr>
      </w:pPr>
      <w:r>
        <w:rPr/>
        <w:t xml:space="preserve">Závažná nervová onemocnění</w:t>
      </w:r>
    </w:p>
    <w:p>
      <w:pPr/>
      <w:r>
        <w:rPr>
          <w:sz w:val="16"/>
          <w:szCs w:val="16"/>
          <w:i w:val="1"/>
          <w:iCs w:val="1"/>
        </w:rPr>
        <w:t xml:space="preserve">Přesné posouzení zdravotního stavu s následným doporučením nebo nedoporučením výkonu této pozice je možné pouze po konzultaci s lékařem.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5">
    <w:nsid w:val="5F573423"/>
    <w:multiLevelType w:val="hybridMultilevel"/>
    <w:lvl w:ilvl="0">
      <w:start w:val="1"/>
      <w:numFmt w:val="bullet"/>
      <w:suff w:val="tab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suff w:val="tab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suff w:val="tab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suff w:val="tab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suff w:val="tab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suff w:val="tab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suff w:val="tab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suff w:val="tab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suff w:val="tab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5">
    <w:abstractNumId w:val="5"/>
  </w:num>
</w:numbering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spacing w:after="120"/>
    </w:pPr>
    <w:rPr>
      <w:sz w:val="40"/>
      <w:szCs w:val="40"/>
      <w:b w:val="1"/>
      <w:bCs w:val="1"/>
    </w:rPr>
  </w:style>
  <w:style w:type="paragraph" w:styleId="Heading2">
    <w:link w:val="Heading2Char"/>
    <w:name w:val="heading 2"/>
    <w:basedOn w:val="Normal"/>
    <w:pPr>
      <w:spacing w:after="80"/>
    </w:pPr>
    <w:rPr>
      <w:sz w:val="28"/>
      <w:szCs w:val="28"/>
      <w:b w:val="1"/>
      <w:bCs w:val="1"/>
    </w:rPr>
  </w:style>
  <w:style w:type="paragraph" w:styleId="Heading3">
    <w:link w:val="Heading3Char"/>
    <w:name w:val="heading 3"/>
    <w:basedOn w:val="Normal"/>
    <w:pPr>
      <w:spacing w:after="60"/>
    </w:pPr>
    <w:rPr>
      <w:sz w:val="24"/>
      <w:szCs w:val="24"/>
      <w:b w:val="1"/>
      <w:bCs w:val="1"/>
    </w:rPr>
  </w:style>
  <w:style w:type="paragraph" w:styleId="Heading4">
    <w:link w:val="Heading4Char"/>
    <w:name w:val="heading 4"/>
    <w:basedOn w:val="Normal"/>
    <w:pPr>
      <w:spacing w:after="6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FDV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NSP.CZ</dc:creator>
  <dc:title>Vodárenský technik úpravy pitné vody</dc:title>
  <dc:description>Vodárenský technik úpravy pitné vody zajišťuje provoz úpravny pitné vody.</dc:description>
  <dc:subject/>
  <cp:keywords/>
  <cp:category>Specializace</cp:category>
  <cp:lastModifiedBy/>
  <dcterms:created xsi:type="dcterms:W3CDTF">2017-11-22T09:31:49+01:00</dcterms:created>
  <dcterms:modified xsi:type="dcterms:W3CDTF">2019-02-27T11:10:52+01:00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