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ryb a vodní drůbeže</w:t>
      </w:r>
      <w:bookmarkEnd w:id="1"/>
    </w:p>
    <w:p>
      <w:pPr/>
      <w:r>
        <w:rPr/>
        <w:t xml:space="preserve">Chovatel ryb a vodní drůbeže zabezpečuje činnosti související s chovem,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výtěr ryb.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Opracovávání a zpracovávání ryb od dodání živých ryb až po zhotovení rybích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>
      <w:pPr>
        <w:numPr>
          <w:ilvl w:val="0"/>
          <w:numId w:val="5"/>
        </w:numPr>
      </w:pPr>
      <w:r>
        <w:rPr/>
        <w:t xml:space="preserve">Líhňař/líhňařka (41-012-H)</w:t>
      </w:r>
    </w:p>
    <w:p>
      <w:pPr>
        <w:numPr>
          <w:ilvl w:val="0"/>
          <w:numId w:val="5"/>
        </w:numPr>
      </w:pPr>
      <w:r>
        <w:rPr/>
        <w:t xml:space="preserve">Pstruhař/pstruhařka (41-013-H)</w:t>
      </w:r>
    </w:p>
    <w:p>
      <w:pPr>
        <w:numPr>
          <w:ilvl w:val="0"/>
          <w:numId w:val="5"/>
        </w:numPr>
      </w:pPr>
      <w:r>
        <w:rPr/>
        <w:t xml:space="preserve">Chovatel/chovatelka vodní drůbeže (41-034-H)</w:t>
      </w:r>
    </w:p>
    <w:p>
      <w:pPr>
        <w:numPr>
          <w:ilvl w:val="0"/>
          <w:numId w:val="5"/>
        </w:numPr>
      </w:pPr>
      <w:r>
        <w:rPr/>
        <w:t xml:space="preserve">Chovatel/chovatelka okrasných a akvarijních ryb (41-003-H)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353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ryb a vodní drůbeže</dc:title>
  <dc:description>Chovatel ryb a vodní drůbeže zabezpečuje činnosti související s chovem, ryb a vodní drůbeže.</dc:description>
  <dc:subject/>
  <cp:keywords/>
  <cp:category>Povolání</cp:category>
  <cp:lastModifiedBy/>
  <dcterms:created xsi:type="dcterms:W3CDTF">2017-11-22T09:32:24+01:00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