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 specialista</w:t>
      </w:r>
      <w:bookmarkEnd w:id="1"/>
    </w:p>
    <w:p>
      <w:pPr/>
      <w:r>
        <w:rPr/>
        <w:t xml:space="preserve"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Horseshoer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nemocných kopyt.</w:t>
      </w:r>
    </w:p>
    <w:p>
      <w:pPr>
        <w:numPr>
          <w:ilvl w:val="0"/>
          <w:numId w:val="5"/>
        </w:numPr>
      </w:pPr>
      <w:r>
        <w:rPr/>
        <w:t xml:space="preserve">Ortopedická úprava a ošetření nebo ortopedické podkování nepravidelných, deformovaných a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Poradenská činnost a zaučování podkovářských tovaryšů.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Podkovář specialista / podkovářka specialistka (41-040-M)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AA5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 specialista</dc:title>
  <dc:description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2017-11-22T09:13:51+01:00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