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ovzduší</w:t>
      </w:r>
      <w:bookmarkEnd w:id="1"/>
    </w:p>
    <w:p>
      <w:pPr/>
      <w:r>
        <w:rPr/>
        <w:t xml:space="preserve"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aplikace předpisů, standardů a činností na ochranu ovzduší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ovzduší.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ochrany ovzduší,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hlediska znečištění ovzduší.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ovzduší,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na ochranu ovzduší, jejich udržování v aktuálním stavu a v souladu s rozhodnutím místně příslušného orgánu ochrany ovzduší.</w:t>
      </w:r>
    </w:p>
    <w:p>
      <w:pPr>
        <w:numPr>
          <w:ilvl w:val="0"/>
          <w:numId w:val="5"/>
        </w:numPr>
      </w:pPr>
      <w:r>
        <w:rPr/>
        <w:t xml:space="preserve">Vedení příslušné dokumentace o znečišťování ovzduší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specialista / technička specialistka pro ochranu ovzduší (16-014-T)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funkce ekologického / koncového zařízení v souladu s požadavky právních předpisů,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ovzduší,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46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ovzduší</dc:title>
  <dc:description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dc:description>
  <dc:subject/>
  <cp:keywords/>
  <cp:category>Specializace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