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štuku s výjimkou kulturních památek a děl uložených ve sbírkách muzeí a galerií</w:t>
      </w:r>
      <w:bookmarkEnd w:id="1"/>
    </w:p>
    <w:p>
      <w:pPr/>
      <w:r>
        <w:rPr/>
        <w:t xml:space="preserve"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ze štuku, umělého mramoru, sádry a historických omítek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ze štuku, umělého mramoru, sádry a historických omítek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modelů prací uměleckého řemesla ze štuku.</w:t>
      </w:r>
    </w:p>
    <w:p>
      <w:pPr>
        <w:numPr>
          <w:ilvl w:val="0"/>
          <w:numId w:val="5"/>
        </w:numPr>
      </w:pPr>
      <w:r>
        <w:rPr/>
        <w:t xml:space="preserve">Zpracování restaurátorských zpráv.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
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štuku s výjimkou kulturních památek a děl uložených ve sbírkách muzeí a galerií (82-042-N)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96BE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štuku s výjimkou kulturních památek a děl uložených ve sbírkách muzeí a galerií</dc:title>
  <dc:description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dc:description>
  <dc:subject/>
  <cp:keywords/>
  <cp:category>Specializace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