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pro prošetřování událostí</w:t>
      </w:r>
      <w:bookmarkEnd w:id="1"/>
    </w:p>
    <w:p>
      <w:pPr/>
      <w:r>
        <w:rPr/>
        <w:t xml:space="preserve"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vyšetřovatel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Prošetřuje události v občansko-právních, správních a obchodně-právních kauzách a provádí s tím související zajišťování stop a dalších informací, které mohou sloužit jako důkazy.</w:t>
      </w:r>
    </w:p>
    <w:p>
      <w:pPr>
        <w:numPr>
          <w:ilvl w:val="0"/>
          <w:numId w:val="5"/>
        </w:numPr>
      </w:pPr>
      <w:r>
        <w:rPr/>
        <w:t xml:space="preserve">Prošetřuje trestné činy na žádost klientů, a to zejména když policie nekoná nebo když dochází k mylným závěrům, o kterých zadavatel ví nebo má zadavatel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trestních kauzách zajišťuje informace o důkazech pro potřeby fyzických,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rozkrývání tzv. interních podvodů a jejich dokumentaci, aby byla použitelná v rámci dokazovacích řízení v pracovněprávních, občanskoprávních či obchodních sporech.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listin, předmětů, svědectví aj. důkazů pro likvidaci pojistných událostí, vedení soudních sporů či trestních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2FF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pro prošetřování událostí</dc:title>
  <dc:description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dc:description>
  <dc:subject/>
  <cp:keywords/>
  <cp:category>Specializace</cp:category>
  <cp:lastModifiedBy/>
  <dcterms:created xsi:type="dcterms:W3CDTF">2017-11-22T09:24:20+01:00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