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technik ozbrojených sil ČR</w:t>
      </w:r>
      <w:bookmarkEnd w:id="1"/>
    </w:p>
    <w:p>
      <w:pPr/>
      <w:r>
        <w:rPr/>
        <w:t xml:space="preserve">Hasič technik ozbrojených sil ČR zajišťuje hasební a záchranné práce při všech druzích zásahů s odpovědností za celé určené úseky činností (chemické, spojové, strojní nebo technické služby) včetně zajišťování spojení v operačním a organizačním řízení.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Hasič-technik - strojní služba, Hasič-technik - chemická služba, Hasič-technik - technická služba, Hasič-technik - spojová a informační služba, Starší hasič-specialista, Starší hasič -technik, Rotný, Rotmistr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hasičské a vyprošťovací techniky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prací při požárech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vojenské kolové techniky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spojaře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chemika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CC0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technik ozbrojených sil ČR</dc:title>
  <dc:description>Hasič technik ozbrojených sil ČR zajišťuje hasební a záchranné práce při všech druzích zásahů s odpovědností za celé určené úseky činností (chemické, spojové, strojní nebo technické služby) včetně zajišťování spojení v operačním a organizačním řízení.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2017-11-22T09:09:17+01:00</dcterms:created>
  <dcterms:modified xsi:type="dcterms:W3CDTF">2017-11-22T09:09:17+01:00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