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Kovář ruční</w:t>
      </w:r>
      <w:bookmarkEnd w:id="1"/>
    </w:p>
    <w:p>
      <w:pPr/>
      <w:r>
        <w:rPr/>
        <w:t xml:space="preserve">Kovář ruční zhotovuje kovové součásti ručním volným kováním s využitím základních kovářských prací jako je prodlužování, pěchování, osazování, kulacení, ohýbání, děrování a sekání. </w:t>
      </w:r>
    </w:p>
    <w:p/>
    <w:tbl>
      <w:tblGrid>
        <w:gridCol w:w="3000" w:type="dxa"/>
        <w:gridCol w:w="6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3000" w:type="dxa"/>
          </w:tcPr>
          <w:p>
            <w:pPr/>
            <w:r>
              <w:rPr>
                <w:b w:val="1"/>
                <w:bCs w:val="1"/>
              </w:rPr>
              <w:t xml:space="preserve">Odborný směr:</w:t>
            </w:r>
          </w:p>
        </w:tc>
        <w:tc>
          <w:tcPr>
            <w:tcW w:w="6000" w:type="dxa"/>
          </w:tcPr>
          <w:p>
            <w:pPr/>
            <w:r>
              <w:rPr/>
              <w:t xml:space="preserve">Strojírenství a automobilový průmysl</w:t>
            </w:r>
          </w:p>
        </w:tc>
      </w:tr>
      <w:tr>
        <w:trPr/>
        <w:tc>
          <w:tcPr/>
          <w:p>
            <w:pPr/>
            <w:r>
              <w:rPr>
                <w:b w:val="1"/>
                <w:bCs w:val="1"/>
              </w:rPr>
              <w:t xml:space="preserve">Odborný podsměr:</w:t>
            </w:r>
          </w:p>
        </w:tc>
        <w:tc>
          <w:tcPr/>
          <w:p>
            <w:pPr/>
            <w:r>
              <w:rPr/>
              <w:t xml:space="preserve">tváření kovů ve strojírenství</w:t>
            </w:r>
          </w:p>
        </w:tc>
      </w:tr>
      <w:tr>
        <w:trPr/>
        <w:tc>
          <w:tcPr/>
          <w:p>
            <w:pPr/>
            <w:r>
              <w:rPr>
                <w:b w:val="1"/>
                <w:bCs w:val="1"/>
              </w:rPr>
              <w:t xml:space="preserve">Kvalifikační úroveň:</w:t>
            </w:r>
          </w:p>
        </w:tc>
        <w:tc>
          <w:tcPr/>
          <w:p>
            <w:pPr/>
            <w:r>
              <w:rPr/>
              <w:t xml:space="preserve">Střední vzdělání s výučním listem tříleté</w:t>
            </w:r>
          </w:p>
        </w:tc>
      </w:tr>
      <w:tr>
        <w:trPr/>
        <w:tc>
          <w:tcPr/>
          <w:p>
            <w:pPr/>
            <w:r>
              <w:rPr>
                <w:b w:val="1"/>
                <w:bCs w:val="1"/>
              </w:rPr>
              <w:t xml:space="preserve">Regulovaná jednotka práce:</w:t>
            </w:r>
          </w:p>
        </w:tc>
        <w:tc>
          <w:tcPr/>
          <w:p>
            <w:pPr/>
            <w:r>
              <w:rPr/>
              <w:t xml:space="preserve">ne</w:t>
            </w:r>
          </w:p>
        </w:tc>
      </w:tr>
    </w:tbl>
    <w:p/>
    <w:p>
      <w:pPr>
        <w:pStyle w:val="Heading2"/>
      </w:pPr>
      <w:bookmarkStart w:id="2" w:name="_Toc2"/>
      <w:r>
        <w:t>Pracovní činnosti</w:t>
      </w:r>
      <w:bookmarkEnd w:id="2"/>
    </w:p>
    <w:p>
      <w:pPr>
        <w:numPr>
          <w:ilvl w:val="0"/>
          <w:numId w:val="5"/>
        </w:numPr>
      </w:pPr>
      <w:r>
        <w:rPr/>
        <w:t xml:space="preserve">Ohřívání materiálů v kovářských pecích a výhních na dané teploty.</w:t>
      </w:r>
    </w:p>
    <w:p>
      <w:pPr>
        <w:numPr>
          <w:ilvl w:val="0"/>
          <w:numId w:val="5"/>
        </w:numPr>
      </w:pPr>
      <w:r>
        <w:rPr/>
        <w:t xml:space="preserve">Výroba součástí podle výkresu.</w:t>
      </w:r>
    </w:p>
    <w:p>
      <w:pPr>
        <w:numPr>
          <w:ilvl w:val="0"/>
          <w:numId w:val="5"/>
        </w:numPr>
      </w:pPr>
      <w:r>
        <w:rPr/>
        <w:t xml:space="preserve">Výroba nářadí a nástrojů volným kováním na kovadlině a kováním na bucharech bez použití zápustek.</w:t>
      </w:r>
    </w:p>
    <w:p>
      <w:pPr>
        <w:numPr>
          <w:ilvl w:val="0"/>
          <w:numId w:val="5"/>
        </w:numPr>
      </w:pPr>
      <w:r>
        <w:rPr/>
        <w:t xml:space="preserve">Ostření dlát, sekáčů a dalšího nářadí včetně kalení a popouštění.</w:t>
      </w:r>
    </w:p>
    <w:p>
      <w:pPr>
        <w:numPr>
          <w:ilvl w:val="0"/>
          <w:numId w:val="5"/>
        </w:numPr>
      </w:pPr>
      <w:r>
        <w:rPr/>
        <w:t xml:space="preserve">Ohýbání kulatin, profilových materiálů, plochých tyčí nebo výpalků.</w:t>
      </w:r>
    </w:p>
    <w:p>
      <w:pPr>
        <w:numPr>
          <w:ilvl w:val="0"/>
          <w:numId w:val="5"/>
        </w:numPr>
      </w:pPr>
      <w:r>
        <w:rPr/>
        <w:t xml:space="preserve">Zkružování tyčí a profilových materiálů.</w:t>
      </w:r>
    </w:p>
    <w:p>
      <w:pPr>
        <w:numPr>
          <w:ilvl w:val="0"/>
          <w:numId w:val="5"/>
        </w:numPr>
      </w:pPr>
      <w:r>
        <w:rPr/>
        <w:t xml:space="preserve">Rovnání materiálů, výkovků, výlisků, výpalků, výstřižků a svařenců.</w:t>
      </w:r>
    </w:p>
    <w:p>
      <w:pPr>
        <w:numPr>
          <w:ilvl w:val="0"/>
          <w:numId w:val="5"/>
        </w:numPr>
      </w:pPr>
      <w:r>
        <w:rPr/>
        <w:t xml:space="preserve">Obsluha kovářských pecí a výhní.</w:t>
      </w:r>
    </w:p>
    <w:p>
      <w:pPr>
        <w:numPr>
          <w:ilvl w:val="0"/>
          <w:numId w:val="5"/>
        </w:numPr>
      </w:pPr>
      <w:r>
        <w:rPr/>
        <w:t xml:space="preserve">Seřizování, ošetřování a údržba kovářskho nářadí a kovářských pecí a výhní.</w:t>
      </w:r>
    </w:p>
    <w:p/>
    <w:p>
      <w:pPr>
        <w:pStyle w:val="Heading2"/>
      </w:pPr>
      <w:bookmarkStart w:id="3" w:name="_Toc3"/>
      <w:r>
        <w:t>CZ-ISCO</w:t>
      </w:r>
      <w:bookmarkEnd w:id="3"/>
    </w:p>
    <w:p>
      <w:pPr>
        <w:numPr>
          <w:ilvl w:val="0"/>
          <w:numId w:val="5"/>
        </w:numPr>
      </w:pPr>
      <w:r>
        <w:rPr/>
        <w:t xml:space="preserve">Kováři</w:t>
      </w:r>
    </w:p>
    <w:p>
      <w:pPr>
        <w:numPr>
          <w:ilvl w:val="0"/>
          <w:numId w:val="5"/>
        </w:numPr>
      </w:pPr>
      <w:r>
        <w:rPr/>
        <w:t xml:space="preserve">Kováři</w:t>
      </w:r>
    </w:p>
    <w:p/>
    <w:p/>
    <w:p>
      <w:pPr>
        <w:pStyle w:val="Heading2"/>
      </w:pPr>
      <w:bookmarkStart w:id="4" w:name="_Toc4"/>
      <w:r>
        <w:t>ESCO</w:t>
      </w:r>
      <w:bookmarkEnd w:id="4"/>
    </w:p>
    <w:tbl>
      <w:tblGrid>
        <w:gridCol w:w="3000" w:type="dxa"/>
        <w:gridCol w:w="3000" w:type="dxa"/>
        <w:gridCol w:w="3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 podskupiny</w:t>
            </w:r>
          </w:p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 podskupiny v ESCO</w:t>
            </w:r>
          </w:p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URL - podskupiny v ESCO</w:t>
            </w:r>
          </w:p>
        </w:tc>
      </w:tr>
      <w:tr>
        <w:trPr/>
        <w:tc>
          <w:tcPr>
            <w:tcW w:w="3000" w:type="dxa"/>
          </w:tcPr>
          <w:p>
            <w:pPr/>
            <w:r>
              <w:rPr/>
              <w:t xml:space="preserve">7221</w:t>
            </w:r>
          </w:p>
        </w:tc>
        <w:tc>
          <w:tcPr>
            <w:tcW w:w="3000" w:type="dxa"/>
          </w:tcPr>
          <w:p>
            <w:pPr/>
            <w:r>
              <w:rPr/>
              <w:t xml:space="preserve">Kováři, obsluha kovacích lisů, obsluha bucharů</w:t>
            </w:r>
          </w:p>
        </w:tc>
        <w:tc>
          <w:tcPr>
            <w:tcW w:w="3000" w:type="dxa"/>
          </w:tcPr>
          <w:p>
            <w:pPr/>
            <w:r>
              <w:rPr/>
              <w:t xml:space="preserve">http://data.europa.eu/esco/isco/C7221</w:t>
            </w:r>
          </w:p>
        </w:tc>
      </w:tr>
    </w:tbl>
    <w:p/>
    <w:p/>
    <w:p/>
    <w:p>
      <w:pPr>
        <w:pStyle w:val="Heading2"/>
      </w:pPr>
      <w:bookmarkStart w:id="5" w:name="_Toc5"/>
      <w:r>
        <w:t>Pracovní podmínky</w:t>
      </w:r>
      <w:bookmarkEnd w:id="5"/>
    </w:p>
    <w:p>
      <w:pPr/>
      <w:r>
        <w:rPr/>
        <w:t xml:space="preserve">Rizikové faktory pracovních podmínek a vyskytující se druhy zátěže upravuje nařízení vlády č. 361/2007 Sb., kterým se stanoví podmínky ochrany zdraví při práci, zákon č. 258/2000 Sb., o ochraně veřejného zdraví a zákon č. 262/2006 Sb., zákoník práce. Vždy vyplývají z pracovních podmínek, které se vztahují ke konkrétnímu zaměstnavateli, tudíž se mohou u různých zaměstnavatelů lišit.</w:t>
      </w:r>
    </w:p>
    <w:p/>
    <w:p>
      <w:pPr/>
      <w:r>
        <w:rPr/>
        <w:t xml:space="preserve">Určení míry výskytu faktorů, které mohou ovlivnit zdraví při práci vychází z druhu práce vykonávané na pracovišti. Faktory se zařazují do čtyř kategorií dle míry zdravotního rizika a jeho vlivu na zdraví. O zařazení prací do třetí nebo čtvrté kategorie rozhoduje příslušný orgán ochrany veřejného zdraví.</w:t>
      </w:r>
    </w:p>
    <w:p/>
    <w:p>
      <w:pPr>
        <w:numPr>
          <w:ilvl w:val="0"/>
          <w:numId w:val="5"/>
        </w:numPr>
      </w:pPr>
      <w:r>
        <w:rPr>
          <w:sz w:val="16"/>
          <w:szCs w:val="16"/>
          <w:i w:val="1"/>
          <w:iCs w:val="1"/>
        </w:rPr>
        <w:t xml:space="preserve">1. Stupeň zátěže (minimální zdravotní riziko) - Faktor se při výkonu práce nevyskytuje nebo je zátěž faktorem minimální, vliv faktoru je ze zdravotního hlediska nevýznamný.</w:t>
      </w:r>
    </w:p>
    <w:p>
      <w:pPr>
        <w:numPr>
          <w:ilvl w:val="0"/>
          <w:numId w:val="5"/>
        </w:numPr>
      </w:pPr>
      <w:r>
        <w:rPr>
          <w:sz w:val="16"/>
          <w:szCs w:val="16"/>
          <w:i w:val="1"/>
          <w:iCs w:val="1"/>
        </w:rPr>
        <w:t xml:space="preserve">2. Stupeň zátěže (únosná míra zdravotního rizika) - Ze zdravotního hlediska je míra zátěže faktorem únosná, nepřekračuje limity stanovené předpisy, vliv faktoru je akceptovatelný pro zdravého člověka.</w:t>
      </w:r>
    </w:p>
    <w:p>
      <w:pPr>
        <w:numPr>
          <w:ilvl w:val="0"/>
          <w:numId w:val="5"/>
        </w:numPr>
      </w:pPr>
      <w:r>
        <w:rPr>
          <w:sz w:val="16"/>
          <w:szCs w:val="16"/>
          <w:i w:val="1"/>
          <w:iCs w:val="1"/>
        </w:rPr>
        <w:t xml:space="preserve">3. Stupeň zátěže (významná míra zdravotního rizika) - Úroveň zátěže překračuje stanovené limitní hodnoty expozice (zátěže), na pracovištích je nutná realizace náhradních technických a organizačních opatření, nelze vyloučit negativní vliv na zdraví pracovníků.</w:t>
      </w:r>
    </w:p>
    <w:p>
      <w:pPr>
        <w:numPr>
          <w:ilvl w:val="0"/>
          <w:numId w:val="5"/>
        </w:numPr>
      </w:pPr>
      <w:r>
        <w:rPr>
          <w:sz w:val="16"/>
          <w:szCs w:val="16"/>
          <w:i w:val="1"/>
          <w:iCs w:val="1"/>
        </w:rPr>
        <w:t xml:space="preserve">4. Stupeň zátěže (vysoká míra zdravotního rizika) - Úroveň zátěže vysoce překračuje stanovené limitní hodnoty expozice, na pracovištích musí být dodržován soubor preventivních opatření, častěji dochází k poškození zdraví.</w:t>
      </w:r>
    </w:p>
    <w:p/>
    <w:p/>
    <w:p>
      <w:pPr>
        <w:pStyle w:val="Heading2"/>
      </w:pPr>
      <w:bookmarkStart w:id="6" w:name="_Toc6"/>
      <w:r>
        <w:t>Kvalifikace k výkonu povolání</w:t>
      </w:r>
      <w:bookmarkEnd w:id="6"/>
    </w:p>
    <w:p>
      <w:pPr>
        <w:pStyle w:val="Heading3"/>
      </w:pPr>
      <w:bookmarkStart w:id="7" w:name="_Toc7"/>
      <w:r>
        <w:t>Školní vzdělání</w:t>
      </w:r>
      <w:bookmarkEnd w:id="7"/>
    </w:p>
    <w:p/>
    <w:p>
      <w:pPr>
        <w:pStyle w:val="Heading4"/>
      </w:pPr>
      <w:bookmarkStart w:id="8" w:name="_Toc8"/>
      <w:r>
        <w:t>Nejvhodnější školní přípravu poskytují obory:</w:t>
      </w:r>
      <w:bookmarkEnd w:id="8"/>
    </w:p>
    <w:tbl>
      <w:tblGrid>
        <w:gridCol w:w="2000" w:type="dxa"/>
        <w:gridCol w:w="5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Typ</w:t>
            </w:r>
          </w:p>
        </w:tc>
        <w:tc>
          <w:tcPr>
            <w:tcW w:w="5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KKOV</w:t>
            </w:r>
          </w:p>
        </w:tc>
        <w:tc>
          <w:tcPr>
            <w:tcW w:w="5000" w:type="dxa"/>
          </w:tcPr>
          <w:p>
            <w:pPr/>
            <w:r>
              <w:rPr/>
              <w:t xml:space="preserve">Střední vzdělání s výučním listem v oboru strojní kovář, kovářské práce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2357H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KKOV</w:t>
            </w:r>
          </w:p>
        </w:tc>
        <w:tc>
          <w:tcPr>
            <w:tcW w:w="5000" w:type="dxa"/>
          </w:tcPr>
          <w:p>
            <w:pPr/>
            <w:r>
              <w:rPr/>
              <w:t xml:space="preserve">Střední vzdělání s výučním listem v oboru kovář, podkovář, kovářské a podkovářské práce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4154H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RVP</w:t>
            </w:r>
          </w:p>
        </w:tc>
        <w:tc>
          <w:tcPr>
            <w:tcW w:w="5000" w:type="dxa"/>
          </w:tcPr>
          <w:p>
            <w:pPr/>
            <w:r>
              <w:rPr/>
              <w:t xml:space="preserve">Kovář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23-57-H/01</w:t>
            </w:r>
          </w:p>
        </w:tc>
      </w:tr>
    </w:tbl>
    <w:p/>
    <w:p>
      <w:pPr>
        <w:pStyle w:val="Heading4"/>
      </w:pPr>
      <w:bookmarkStart w:id="9" w:name="_Toc9"/>
      <w:r>
        <w:t>Vhodnou školní přípravu poskytují také obory:</w:t>
      </w:r>
      <w:bookmarkEnd w:id="9"/>
    </w:p>
    <w:tbl>
      <w:tblGrid>
        <w:gridCol w:w="2000" w:type="dxa"/>
        <w:gridCol w:w="5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Typ</w:t>
            </w:r>
          </w:p>
        </w:tc>
        <w:tc>
          <w:tcPr>
            <w:tcW w:w="5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KKOV</w:t>
            </w:r>
          </w:p>
        </w:tc>
        <w:tc>
          <w:tcPr>
            <w:tcW w:w="5000" w:type="dxa"/>
          </w:tcPr>
          <w:p>
            <w:pPr/>
            <w:r>
              <w:rPr/>
              <w:t xml:space="preserve">Střední vzdělání s výučním listem v oboru zámečník, zámečnické práce a údržba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2351H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KKOV</w:t>
            </w:r>
          </w:p>
        </w:tc>
        <w:tc>
          <w:tcPr>
            <w:tcW w:w="5000" w:type="dxa"/>
          </w:tcPr>
          <w:p>
            <w:pPr/>
            <w:r>
              <w:rPr/>
              <w:t xml:space="preserve">Střední vzdělání s výučním listem v oboru klempíř, klempířské práce ve strojírenství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2355H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RVP</w:t>
            </w:r>
          </w:p>
        </w:tc>
        <w:tc>
          <w:tcPr>
            <w:tcW w:w="5000" w:type="dxa"/>
          </w:tcPr>
          <w:p>
            <w:pPr/>
            <w:r>
              <w:rPr/>
              <w:t xml:space="preserve">Strojní mechanik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23-51-H/01</w:t>
            </w:r>
          </w:p>
        </w:tc>
      </w:tr>
    </w:tbl>
    <w:p/>
    <w:p>
      <w:pPr>
        <w:pStyle w:val="Heading3"/>
      </w:pPr>
      <w:bookmarkStart w:id="10" w:name="_Toc10"/>
      <w:r>
        <w:t>Další vzdělání</w:t>
      </w:r>
      <w:bookmarkEnd w:id="10"/>
    </w:p>
    <w:p>
      <w:pPr>
        <w:pStyle w:val="Heading4"/>
      </w:pPr>
      <w:bookmarkStart w:id="11" w:name="_Toc11"/>
      <w:r>
        <w:t>Profesní kvalifikace</w:t>
      </w:r>
      <w:bookmarkEnd w:id="11"/>
    </w:p>
    <w:p>
      <w:pPr>
        <w:numPr>
          <w:ilvl w:val="0"/>
          <w:numId w:val="5"/>
        </w:numPr>
      </w:pPr>
      <w:r>
        <w:rPr/>
        <w:t xml:space="preserve">Kovář/kovářka ruční (21-016-H)</w:t>
      </w:r>
    </w:p>
    <w:p/>
    <w:p>
      <w:pPr>
        <w:pStyle w:val="Heading4"/>
      </w:pPr>
      <w:bookmarkStart w:id="12" w:name="_Toc12"/>
      <w:r>
        <w:t>Akreditované kurzy</w:t>
      </w:r>
      <w:bookmarkEnd w:id="12"/>
    </w:p>
    <w:p>
      <w:pPr>
        <w:numPr>
          <w:ilvl w:val="0"/>
          <w:numId w:val="5"/>
        </w:numPr>
      </w:pPr>
      <w:r>
        <w:rPr/>
        <w:t xml:space="preserve">Kvalifikaci pro výkon tohoto povolání je možné získat alternativně prostřednictvím příslušného rekvalifikačního vzdělávacího programu akreditovaného dle Vyhlášky 176/2009. Seznam akreditovaných rekvalifikačních programů naleznete v Databázi udělených akreditací  (https://akredis.msmt.cz/#!DakRekvalifikaceSearchPage)</w:t>
      </w:r>
    </w:p>
    <w:p/>
    <w:p>
      <w:pPr>
        <w:pStyle w:val="Heading3"/>
      </w:pPr>
      <w:bookmarkStart w:id="13" w:name="_Toc13"/>
      <w:r>
        <w:t>Legislativní požadavky</w:t>
      </w:r>
      <w:bookmarkEnd w:id="13"/>
    </w:p>
    <w:p>
      <w:pPr>
        <w:numPr>
          <w:ilvl w:val="0"/>
          <w:numId w:val="5"/>
        </w:numPr>
      </w:pPr>
      <w:r>
        <w:rPr/>
        <w:t xml:space="preserve">povinné - Odborná způsobilost podle zákona č. 250/2021 Sb., o bezpečnosti práce v souvislosti s provozem vyhrazených technických zařízení a nařízení vlády č. 194/2022 Sb., o požadavcích na odbornou způsobilost k výkonu činnosti na elektrických zařízeních a na odbornou způsobilost v elektrotechnice, (u hornických činností též podle vyhlášky č. 392/2003 Sb., o bezpečnosti provozu technických zařízení a o požadavcích na vyhrazená technická zařízení tlaková, zdvihací a plynová při hornické činnosti a činnosti prováděné hornickým způsobem)</w:t>
      </w:r>
    </w:p>
    <w:p/>
    <w:p/>
    <w:p>
      <w:pPr>
        <w:pStyle w:val="Heading2"/>
      </w:pPr>
      <w:bookmarkStart w:id="14" w:name="_Toc14"/>
      <w:r>
        <w:t>Kompetenční požadavky</w:t>
      </w:r>
      <w:bookmarkEnd w:id="14"/>
    </w:p>
    <w:p>
      <w:pPr>
        <w:pStyle w:val="Heading3"/>
      </w:pPr>
      <w:bookmarkStart w:id="15" w:name="_Toc15"/>
      <w:r>
        <w:t>Odborné dovednosti</w:t>
      </w:r>
      <w:bookmarkEnd w:id="15"/>
    </w:p>
    <w:tbl>
      <w:tblGrid>
        <w:gridCol w:w="2000" w:type="dxa"/>
        <w:gridCol w:w="3000" w:type="dxa"/>
        <w:gridCol w:w="2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Úroveň 1-8</w:t>
            </w:r>
          </w:p>
        </w:tc>
        <w:tc>
          <w:tcPr>
            <w:tcW w:w="2000" w:type="dxa"/>
          </w:tcPr>
          <w:p>
            <w:pPr/>
            <w:r>
              <w:rPr>
                <w:b w:val="1"/>
                <w:bCs w:val="1"/>
              </w:rPr>
              <w:t xml:space="preserve">Vhodnost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e72.D.1074</w:t>
            </w:r>
          </w:p>
        </w:tc>
        <w:tc>
          <w:tcPr>
            <w:tcW w:w="3000" w:type="dxa"/>
          </w:tcPr>
          <w:p>
            <w:pPr/>
            <w:r>
              <w:rPr/>
              <w:t xml:space="preserve">Orientace v normách a v technických podkladech pro zhotovování výkovků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e71.D.2985</w:t>
            </w:r>
          </w:p>
        </w:tc>
        <w:tc>
          <w:tcPr>
            <w:tcW w:w="3000" w:type="dxa"/>
          </w:tcPr>
          <w:p>
            <w:pPr/>
            <w:r>
              <w:rPr/>
              <w:t xml:space="preserve">Volba postupu práce a technologických podmínek ohřevu materiálu v kovářských pecích a výhních, kování nářadí, nástrojů a různých strojních součástí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e74.A.4065</w:t>
            </w:r>
          </w:p>
        </w:tc>
        <w:tc>
          <w:tcPr>
            <w:tcW w:w="3000" w:type="dxa"/>
          </w:tcPr>
          <w:p>
            <w:pPr/>
            <w:r>
              <w:rPr/>
              <w:t xml:space="preserve">Seřizování, ošetřování a údržba kovářských pecí, výhní, kovacích lisů a bucharů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e72.A.1025</w:t>
            </w:r>
          </w:p>
        </w:tc>
        <w:tc>
          <w:tcPr>
            <w:tcW w:w="3000" w:type="dxa"/>
          </w:tcPr>
          <w:p>
            <w:pPr/>
            <w:r>
              <w:rPr/>
              <w:t xml:space="preserve">Ruční kování ostří pluhů, zubů a krojidel, plochých sekáčů, razidel, listových pružin, profilových nožů na obrábění kovů, skob, hřebíků, petlic různého nářadí, vykovávání prasklých rámů bran a smyků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e72.A.1024</w:t>
            </w:r>
          </w:p>
        </w:tc>
        <w:tc>
          <w:tcPr>
            <w:tcW w:w="3000" w:type="dxa"/>
          </w:tcPr>
          <w:p>
            <w:pPr/>
            <w:r>
              <w:rPr/>
              <w:t xml:space="preserve">Ruční zpracování kovu za tepla pěchováním, prodlužováním, ohýbáním, nakrucováním, sekáním, tvarováním výkovků podle šablon, kovářským děrováním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e72.B.1041</w:t>
            </w:r>
          </w:p>
        </w:tc>
        <w:tc>
          <w:tcPr>
            <w:tcW w:w="3000" w:type="dxa"/>
          </w:tcPr>
          <w:p>
            <w:pPr/>
            <w:r>
              <w:rPr/>
              <w:t xml:space="preserve">Obsluha kovářských pecí a výhní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e74.A.3041</w:t>
            </w:r>
          </w:p>
        </w:tc>
        <w:tc>
          <w:tcPr>
            <w:tcW w:w="3000" w:type="dxa"/>
          </w:tcPr>
          <w:p>
            <w:pPr/>
            <w:r>
              <w:rPr/>
              <w:t xml:space="preserve">Svařování v ohni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e72.A.1022</w:t>
            </w:r>
          </w:p>
        </w:tc>
        <w:tc>
          <w:tcPr>
            <w:tcW w:w="3000" w:type="dxa"/>
          </w:tcPr>
          <w:p>
            <w:pPr/>
            <w:r>
              <w:rPr/>
              <w:t xml:space="preserve">Ruční kování ocelí nebo neželezných kovů a jejich slitin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</w:tbl>
    <w:p>
      <w:pPr/>
      <w:r>
        <w:rPr>
          <w:sz w:val="16"/>
          <w:szCs w:val="16"/>
          <w:i w:val="1"/>
          <w:iCs w:val="1"/>
        </w:rPr>
        <w:t xml:space="preserve">Popisy úrovní naleznete zde: https://nsp.cz/downloads/Priloha_c2_manualu.pdf</w:t>
      </w:r>
    </w:p>
    <w:p/>
    <w:p>
      <w:pPr>
        <w:pStyle w:val="Heading3"/>
      </w:pPr>
      <w:bookmarkStart w:id="16" w:name="_Toc16"/>
      <w:r>
        <w:t>Odborné znalosti</w:t>
      </w:r>
      <w:bookmarkEnd w:id="16"/>
    </w:p>
    <w:tbl>
      <w:tblGrid>
        <w:gridCol w:w="2000" w:type="dxa"/>
        <w:gridCol w:w="3000" w:type="dxa"/>
        <w:gridCol w:w="2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Úroveň 1-8</w:t>
            </w:r>
          </w:p>
        </w:tc>
        <w:tc>
          <w:tcPr>
            <w:tcW w:w="2000" w:type="dxa"/>
          </w:tcPr>
          <w:p>
            <w:pPr/>
            <w:r>
              <w:rPr>
                <w:b w:val="1"/>
                <w:bCs w:val="1"/>
              </w:rPr>
              <w:t xml:space="preserve">Vhodnost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e71._.0001</w:t>
            </w:r>
          </w:p>
        </w:tc>
        <w:tc>
          <w:tcPr>
            <w:tcW w:w="3000" w:type="dxa"/>
          </w:tcPr>
          <w:p>
            <w:pPr/>
            <w:r>
              <w:rPr/>
              <w:t xml:space="preserve">technické kreslení ve strojírenství a v kovovýrobě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e71._.0003</w:t>
            </w:r>
          </w:p>
        </w:tc>
        <w:tc>
          <w:tcPr>
            <w:tcW w:w="3000" w:type="dxa"/>
          </w:tcPr>
          <w:p>
            <w:pPr/>
            <w:r>
              <w:rPr/>
              <w:t xml:space="preserve">kovové materiály a slitiny a jejich vlastnosti (např. tvrdost, pružnost, houževnatost aj.)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e75._.0005</w:t>
            </w:r>
          </w:p>
        </w:tc>
        <w:tc>
          <w:tcPr>
            <w:tcW w:w="3000" w:type="dxa"/>
          </w:tcPr>
          <w:p>
            <w:pPr/>
            <w:r>
              <w:rPr/>
              <w:t xml:space="preserve">strojní součásti a polotovary a jejich parametry (rozměry, jakost povrchu aj.)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e72._.0031</w:t>
            </w:r>
          </w:p>
        </w:tc>
        <w:tc>
          <w:tcPr>
            <w:tcW w:w="3000" w:type="dxa"/>
          </w:tcPr>
          <w:p>
            <w:pPr/>
            <w:r>
              <w:rPr/>
              <w:t xml:space="preserve">technologie kovářství a kovárenství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e74._.0051</w:t>
            </w:r>
          </w:p>
        </w:tc>
        <w:tc>
          <w:tcPr>
            <w:tcW w:w="3000" w:type="dxa"/>
          </w:tcPr>
          <w:p>
            <w:pPr/>
            <w:r>
              <w:rPr/>
              <w:t xml:space="preserve">technologie svařování kovů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Výhodné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e71._.0085</w:t>
            </w:r>
          </w:p>
        </w:tc>
        <w:tc>
          <w:tcPr>
            <w:tcW w:w="3000" w:type="dxa"/>
          </w:tcPr>
          <w:p>
            <w:pPr/>
            <w:r>
              <w:rPr/>
              <w:t xml:space="preserve">tepelné zpracování materiálů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l24._.0001</w:t>
            </w:r>
          </w:p>
        </w:tc>
        <w:tc>
          <w:tcPr>
            <w:tcW w:w="3000" w:type="dxa"/>
          </w:tcPr>
          <w:p>
            <w:pPr/>
            <w:r>
              <w:rPr/>
              <w:t xml:space="preserve">bezpečnost práce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</w:tbl>
    <w:p>
      <w:pPr/>
      <w:r>
        <w:rPr>
          <w:sz w:val="16"/>
          <w:szCs w:val="16"/>
          <w:i w:val="1"/>
          <w:iCs w:val="1"/>
        </w:rPr>
        <w:t xml:space="preserve">Popisy úrovní naleznete zde: https://nsp.cz/downloads/Priloha_c2_manualu.pdf</w:t>
      </w:r>
    </w:p>
    <w:p/>
    <w:p>
      <w:pPr>
        <w:pStyle w:val="Heading3"/>
      </w:pPr>
      <w:bookmarkStart w:id="17" w:name="_Toc17"/>
      <w:r>
        <w:t>Digitální kompetence</w:t>
      </w:r>
      <w:bookmarkEnd w:id="17"/>
    </w:p>
    <w:tbl>
      <w:tblGrid>
        <w:gridCol w:w="2000" w:type="dxa"/>
        <w:gridCol w:w="5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  <w:tc>
          <w:tcPr>
            <w:tcW w:w="5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Úroveň 1-4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1.1</w:t>
            </w:r>
          </w:p>
        </w:tc>
        <w:tc>
          <w:tcPr>
            <w:tcW w:w="5000" w:type="dxa"/>
          </w:tcPr>
          <w:p>
            <w:pPr/>
            <w:r>
              <w:rPr/>
              <w:t xml:space="preserve">Prohlížení, vyhledávání a filtrování dat, informací a digitálního obsahu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5.2</w:t>
            </w:r>
          </w:p>
        </w:tc>
        <w:tc>
          <w:tcPr>
            <w:tcW w:w="5000" w:type="dxa"/>
          </w:tcPr>
          <w:p>
            <w:pPr/>
            <w:r>
              <w:rPr/>
              <w:t xml:space="preserve">Identifikace potřeb a výběr vhodných technologií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5.1</w:t>
            </w:r>
          </w:p>
        </w:tc>
        <w:tc>
          <w:tcPr>
            <w:tcW w:w="5000" w:type="dxa"/>
          </w:tcPr>
          <w:p>
            <w:pPr/>
            <w:r>
              <w:rPr/>
              <w:t xml:space="preserve">Řešení technických problémů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4.4</w:t>
            </w:r>
          </w:p>
        </w:tc>
        <w:tc>
          <w:tcPr>
            <w:tcW w:w="5000" w:type="dxa"/>
          </w:tcPr>
          <w:p>
            <w:pPr/>
            <w:r>
              <w:rPr/>
              <w:t xml:space="preserve">Ochrana životního prostředí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4.3</w:t>
            </w:r>
          </w:p>
        </w:tc>
        <w:tc>
          <w:tcPr>
            <w:tcW w:w="5000" w:type="dxa"/>
          </w:tcPr>
          <w:p>
            <w:pPr/>
            <w:r>
              <w:rPr/>
              <w:t xml:space="preserve">Ochrana zdraví a duševní pohody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4.2</w:t>
            </w:r>
          </w:p>
        </w:tc>
        <w:tc>
          <w:tcPr>
            <w:tcW w:w="5000" w:type="dxa"/>
          </w:tcPr>
          <w:p>
            <w:pPr/>
            <w:r>
              <w:rPr/>
              <w:t xml:space="preserve">Ochrana osobních dat a soukromí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4.1</w:t>
            </w:r>
          </w:p>
        </w:tc>
        <w:tc>
          <w:tcPr>
            <w:tcW w:w="5000" w:type="dxa"/>
          </w:tcPr>
          <w:p>
            <w:pPr/>
            <w:r>
              <w:rPr/>
              <w:t xml:space="preserve">Ochrana zařízení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2.4</w:t>
            </w:r>
          </w:p>
        </w:tc>
        <w:tc>
          <w:tcPr>
            <w:tcW w:w="5000" w:type="dxa"/>
          </w:tcPr>
          <w:p>
            <w:pPr/>
            <w:r>
              <w:rPr/>
              <w:t xml:space="preserve">Spolupráce prostřednictvím digitálních technologií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2.2</w:t>
            </w:r>
          </w:p>
        </w:tc>
        <w:tc>
          <w:tcPr>
            <w:tcW w:w="5000" w:type="dxa"/>
          </w:tcPr>
          <w:p>
            <w:pPr/>
            <w:r>
              <w:rPr/>
              <w:t xml:space="preserve">Sdílení prostřednictvím digitálních technologií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2.1</w:t>
            </w:r>
          </w:p>
        </w:tc>
        <w:tc>
          <w:tcPr>
            <w:tcW w:w="5000" w:type="dxa"/>
          </w:tcPr>
          <w:p>
            <w:pPr/>
            <w:r>
              <w:rPr/>
              <w:t xml:space="preserve">Interakce prostřednictvím digitálních technologií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1.2</w:t>
            </w:r>
          </w:p>
        </w:tc>
        <w:tc>
          <w:tcPr>
            <w:tcW w:w="5000" w:type="dxa"/>
          </w:tcPr>
          <w:p>
            <w:pPr/>
            <w:r>
              <w:rPr/>
              <w:t xml:space="preserve">Hodnocení dat, informací a digitálního obsahu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5.4</w:t>
            </w:r>
          </w:p>
        </w:tc>
        <w:tc>
          <w:tcPr>
            <w:tcW w:w="5000" w:type="dxa"/>
          </w:tcPr>
          <w:p>
            <w:pPr/>
            <w:r>
              <w:rPr/>
              <w:t xml:space="preserve">Identifikace nedostatků v digitálních kompetencích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</w:tbl>
    <w:p>
      <w:pPr/>
      <w:r>
        <w:rPr>
          <w:sz w:val="16"/>
          <w:szCs w:val="16"/>
          <w:i w:val="1"/>
          <w:iCs w:val="1"/>
        </w:rPr>
        <w:t xml:space="preserve">Popisy úrovní naleznete zde: https://nsp.cz/downloads/Priloha_c15_manualu.pdf</w:t>
      </w:r>
    </w:p>
    <w:p/>
    <w:p>
      <w:pPr>
        <w:pStyle w:val="Heading3"/>
      </w:pPr>
      <w:bookmarkStart w:id="18" w:name="_Toc18"/>
      <w:r>
        <w:t>Měkké kompetence</w:t>
      </w:r>
      <w:bookmarkEnd w:id="18"/>
    </w:p>
    <w:tbl>
      <w:tblGrid>
        <w:gridCol w:w="2000" w:type="dxa"/>
        <w:gridCol w:w="5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  <w:tc>
          <w:tcPr>
            <w:tcW w:w="5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Úroveň 0-5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2.2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ke kooperaci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1.3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ke kreativitě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1.2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flexibilitě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4.6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výkonnosti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4.5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samostatnosti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4.4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řešení problémů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4.2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plánování a organizování práce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</w:tbl>
    <w:p>
      <w:pPr/>
      <w:r>
        <w:rPr>
          <w:sz w:val="16"/>
          <w:szCs w:val="16"/>
          <w:i w:val="1"/>
          <w:iCs w:val="1"/>
        </w:rPr>
        <w:t xml:space="preserve">Popisy úrovní naleznete zde: https://nsp.cz/downloads/Priloha_c9_manualu.pdf</w:t>
      </w:r>
    </w:p>
    <w:p/>
    <w:p>
      <w:pPr>
        <w:pStyle w:val="Heading2"/>
      </w:pPr>
      <w:bookmarkStart w:id="19" w:name="_Toc19"/>
      <w:r>
        <w:t>Zdravotní podmínky</w:t>
      </w:r>
      <w:bookmarkEnd w:id="19"/>
    </w:p>
    <w:p>
      <w:pPr>
        <w:pStyle w:val="Heading3"/>
      </w:pPr>
      <w:bookmarkStart w:id="20" w:name="_Toc20"/>
      <w:r>
        <w:t>Onemocnění omezující výkon povolání / specializace povolání.</w:t>
      </w:r>
      <w:bookmarkEnd w:id="20"/>
    </w:p>
    <w:p>
      <w:pPr>
        <w:numPr>
          <w:ilvl w:val="0"/>
          <w:numId w:val="5"/>
        </w:numPr>
      </w:pPr>
      <w:r>
        <w:rPr/>
        <w:t xml:space="preserve">Onemocnění oběhové soustavy</w:t>
      </w:r>
    </w:p>
    <w:p>
      <w:pPr>
        <w:numPr>
          <w:ilvl w:val="0"/>
          <w:numId w:val="5"/>
        </w:numPr>
      </w:pPr>
      <w:r>
        <w:rPr/>
        <w:t xml:space="preserve">Poruchy termoregulace</w:t>
      </w:r>
    </w:p>
    <w:p>
      <w:pPr>
        <w:numPr>
          <w:ilvl w:val="0"/>
          <w:numId w:val="5"/>
        </w:numPr>
      </w:pPr>
      <w:r>
        <w:rPr/>
        <w:t xml:space="preserve">Závažná degenerativní a zánětlivá onemocnění pohybového systému</w:t>
      </w:r>
    </w:p>
    <w:p>
      <w:pPr>
        <w:numPr>
          <w:ilvl w:val="0"/>
          <w:numId w:val="5"/>
        </w:numPr>
      </w:pPr>
      <w:r>
        <w:rPr/>
        <w:t xml:space="preserve">Prognosticky závažná endokrinní onemocnění včetně diabetes mellitus</w:t>
      </w:r>
    </w:p>
    <w:p>
      <w:pPr>
        <w:numPr>
          <w:ilvl w:val="0"/>
          <w:numId w:val="5"/>
        </w:numPr>
      </w:pPr>
      <w:r>
        <w:rPr/>
        <w:t xml:space="preserve">Závažná chronická onemocnění kůže a spojivek</w:t>
      </w:r>
    </w:p>
    <w:p>
      <w:pPr>
        <w:numPr>
          <w:ilvl w:val="0"/>
          <w:numId w:val="5"/>
        </w:numPr>
      </w:pPr>
      <w:r>
        <w:rPr/>
        <w:t xml:space="preserve">Závažná orgánová onemocnění podle toxikologických vlastností látek</w:t>
      </w:r>
    </w:p>
    <w:p>
      <w:pPr>
        <w:numPr>
          <w:ilvl w:val="0"/>
          <w:numId w:val="5"/>
        </w:numPr>
      </w:pPr>
      <w:r>
        <w:rPr/>
        <w:t xml:space="preserve">Závrať jakékoliv etiologie</w:t>
      </w:r>
    </w:p>
    <w:p>
      <w:pPr>
        <w:numPr>
          <w:ilvl w:val="0"/>
          <w:numId w:val="5"/>
        </w:numPr>
      </w:pPr>
      <w:r>
        <w:rPr/>
        <w:t xml:space="preserve">Duševní poruchy a poruchy chování</w:t>
      </w:r>
    </w:p>
    <w:p>
      <w:pPr>
        <w:numPr>
          <w:ilvl w:val="0"/>
          <w:numId w:val="5"/>
        </w:numPr>
      </w:pPr>
      <w:r>
        <w:rPr/>
        <w:t xml:space="preserve">Závažná nervová onemocnění a psychosomatická onemocnění</w:t>
      </w:r>
    </w:p>
    <w:p>
      <w:pPr>
        <w:numPr>
          <w:ilvl w:val="0"/>
          <w:numId w:val="5"/>
        </w:numPr>
      </w:pPr>
      <w:r>
        <w:rPr/>
        <w:t xml:space="preserve">Závažné stavy po úrazech či operacích pohybového systému</w:t>
      </w:r>
    </w:p>
    <w:p>
      <w:pPr/>
      <w:r>
        <w:rPr>
          <w:sz w:val="16"/>
          <w:szCs w:val="16"/>
          <w:i w:val="1"/>
          <w:iCs w:val="1"/>
        </w:rPr>
        <w:t xml:space="preserve">Přesné posouzení zdravotního stavu s následným doporučením nebo nedoporučením výkonu této pozice je možné pouze po konzultaci s lékařem.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5">
    <w:nsid w:val="6B785F9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5">
    <w:abstractNumId w:val="5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spacing w:after="120"/>
    </w:pPr>
    <w:rPr>
      <w:sz w:val="40"/>
      <w:szCs w:val="40"/>
      <w:b w:val="1"/>
      <w:bCs w:val="1"/>
    </w:rPr>
  </w:style>
  <w:style w:type="paragraph" w:styleId="Heading2">
    <w:link w:val="Heading2Char"/>
    <w:name w:val="heading 2"/>
    <w:basedOn w:val="Normal"/>
    <w:pPr>
      <w:spacing w:after="80"/>
    </w:pPr>
    <w:rPr>
      <w:sz w:val="28"/>
      <w:szCs w:val="28"/>
      <w:b w:val="1"/>
      <w:bCs w:val="1"/>
    </w:rPr>
  </w:style>
  <w:style w:type="paragraph" w:styleId="Heading3">
    <w:link w:val="Heading3Char"/>
    <w:name w:val="heading 3"/>
    <w:basedOn w:val="Normal"/>
    <w:pPr>
      <w:spacing w:after="60"/>
    </w:pPr>
    <w:rPr>
      <w:sz w:val="24"/>
      <w:szCs w:val="24"/>
      <w:b w:val="1"/>
      <w:bCs w:val="1"/>
    </w:rPr>
  </w:style>
  <w:style w:type="paragraph" w:styleId="Heading4">
    <w:link w:val="Heading4Char"/>
    <w:name w:val="heading 4"/>
    <w:basedOn w:val="Normal"/>
    <w:pPr>
      <w:spacing w:after="60"/>
    </w:pPr>
    <w:rPr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FDV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NSP.CZ</dc:creator>
  <dc:title>Kovář ruční</dc:title>
  <dc:description>Kovář ruční zhotovuje kovové součásti ručním volným kováním s využitím základních kovářských prací jako je prodlužování, pěchování, osazování, kulacení, ohýbání, děrování a sekání. </dc:description>
  <dc:subject/>
  <cp:keywords/>
  <cp:category>Povolání</cp:category>
  <cp:lastModifiedBy/>
  <dcterms:created xsi:type="dcterms:W3CDTF">2017-11-22T09:41:12+01:00</dcterms:created>
  <dcterms:modified xsi:type="dcterms:W3CDTF">2024-03-26T10:03:33+01:00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