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</w:t>
      </w:r>
      <w:bookmarkEnd w:id="1"/>
    </w:p>
    <w:p>
      <w:pPr/>
      <w:r>
        <w:rPr/>
        <w:t xml:space="preserve">Exekutor je podle zákona oprávněn nezávisle vykonávat nucený výkon exekučních titulů, zajišťovat další činnosti podle zákona.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Executor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>
      <w:pPr>
        <w:numPr>
          <w:ilvl w:val="0"/>
          <w:numId w:val="5"/>
        </w:numPr>
      </w:pPr>
      <w:r>
        <w:rPr/>
        <w:t xml:space="preserve">Vykonávání exekutorské praxe.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4" w:name="_Toc4"/>
      <w:r>
        <w:t>Kompetenční požadavky</w:t>
      </w:r>
      <w:bookmarkEnd w:id="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5" w:name="_Toc5"/>
      <w:r>
        <w:t>Digitální kompetence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1B05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</dc:title>
  <dc:description>Exekutor je podle zákona oprávněn nezávisle vykonávat nucený výkon exekučních titulů, zajišťovat další činnosti podle zákona.</dc:description>
  <dc:subject/>
  <cp:keywords/>
  <cp:category>Povolání</cp:category>
  <cp:lastModifiedBy/>
  <dcterms:created xsi:type="dcterms:W3CDTF">2017-11-22T09:41:12+01:00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