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Obsluha stavebních strojů kompresorů</w:t>
      </w:r>
      <w:bookmarkEnd w:id="1"/>
    </w:p>
    <w:p>
      <w:pPr/>
      <w:r>
        <w:rPr/>
        <w:t xml:space="preserve">Obsluha stavebních strojů kompresorů, obsluhuje mobilní a stacionární druhy kompresorů na stavbách.</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Stavebnictví a zeměměřictví</w:t>
            </w:r>
          </w:p>
        </w:tc>
      </w:tr>
      <w:tr>
        <w:trPr/>
        <w:tc>
          <w:tcPr/>
          <w:p>
            <w:pPr/>
            <w:r>
              <w:rPr>
                <w:b w:val="1"/>
                <w:bCs w:val="1"/>
              </w:rPr>
              <w:t xml:space="preserve">Odborný podsměr:</w:t>
            </w:r>
          </w:p>
        </w:tc>
        <w:tc>
          <w:tcPr/>
          <w:p>
            <w:pPr/>
            <w:r>
              <w:rPr/>
              <w:t xml:space="preserve">obsluha stavebních strojů</w:t>
            </w:r>
          </w:p>
        </w:tc>
      </w:tr>
      <w:tr>
        <w:trPr/>
        <w:tc>
          <w:tcPr/>
          <w:p>
            <w:pPr/>
            <w:r>
              <w:rPr>
                <w:b w:val="1"/>
                <w:bCs w:val="1"/>
              </w:rPr>
              <w:t xml:space="preserve">Kvalifikační úroveň:</w:t>
            </w:r>
          </w:p>
        </w:tc>
        <w:tc>
          <w:tcPr/>
          <w:p>
            <w:pPr/>
            <w:r>
              <w:rPr/>
              <w:t xml:space="preserve">Střední vzdělání s výučním listem tříleté</w:t>
            </w:r>
          </w:p>
        </w:tc>
      </w:tr>
      <w:tr>
        <w:trPr/>
        <w:tc>
          <w:tcPr/>
          <w:p>
            <w:pPr/>
            <w:r>
              <w:rPr>
                <w:b w:val="1"/>
                <w:bCs w:val="1"/>
              </w:rPr>
              <w:t xml:space="preserve">Alternativní názvy:</w:t>
            </w:r>
          </w:p>
        </w:tc>
        <w:tc>
          <w:tcPr/>
          <w:p>
            <w:pPr/>
            <w:r>
              <w:rPr/>
              <w:t xml:space="preserve">Strojník obsluhy kompresorů, Obsluha energetických zařízení</w:t>
            </w:r>
          </w:p>
        </w:tc>
      </w:tr>
      <w:tr>
        <w:trPr/>
        <w:tc>
          <w:tcPr/>
          <w:p>
            <w:pPr/>
            <w:r>
              <w:rPr>
                <w:b w:val="1"/>
                <w:bCs w:val="1"/>
              </w:rPr>
              <w:t xml:space="preserve">Nadřízené povolání:</w:t>
            </w:r>
          </w:p>
        </w:tc>
        <w:tc>
          <w:tcPr/>
          <w:p>
            <w:pPr/>
            <w:r>
              <w:rPr/>
              <w:t xml:space="preserve">Strojník obsluhy stavebních strojů</w:t>
            </w:r>
          </w:p>
        </w:tc>
      </w:tr>
      <w:tr>
        <w:trPr/>
        <w:tc>
          <w:tcPr/>
          <w:p>
            <w:pPr/>
            <w:r>
              <w:rPr>
                <w:b w:val="1"/>
                <w:bCs w:val="1"/>
              </w:rPr>
              <w:t xml:space="preserve">Příbuzné specializace:</w:t>
            </w:r>
          </w:p>
        </w:tc>
        <w:tc>
          <w:tcPr/>
          <w:p>
            <w:pPr/>
            <w:r>
              <w:rPr/>
              <w:t xml:space="preserve">Obsluha stavebních strojů dozerů a kolových traktorů, Obsluha stavebních strojů skrejprů s pásovým tahačem, Obsluha stavebních strojů autogrejdrů a grejdrelevátorů, Obsluha stavebních strojů finišerů živičných a betonových směsí, Obsluha stavebních strojů speciálních motorových sněhových fréz, Obsluha stavebních strojů obaloven živičných směsí, Obsluha stavebních strojů dozerů a pásových traktorů, Obsluha stavebních strojů pro zakládání - vrtané piloty, beranidla a vytahovače, Obsluha stavebních strojů betonáren, Obsluha stavebních strojů truboukladčíků, Obsluha stavebních strojů a zařízení pro napínání předpínací výztuže, Obsluha stavebních strojů čerpadel čerstvého betonu, Obsluha stavebních elektrocentrál, Obsluha stavebních strojů nakládacích a vykládacích kolových a pásových, Obsluha drenážních strojů a fréz, Obsluha stavebních strojů vrtných souprav pro skalní práce, Obsluha stavebních strojů silničních válců, Obsluha stavebních strojů speciálních přepravníků čerstvého betonu, Obsluha stavebních strojů úzkorozchodných lokomotiv pro přenosné dráhy, Obsluha stavebních strojů motorových skrejprů, Obsluha stavebních strojů zařízení pro míchání injektážní malty a injektování, Obsluha stavebních strojů kompresorů, Obsluha stavebních strojů korečkových hlubidel, Obsluha stavebních strojů speciálních tahačů stavebních mechanizmů, Obsluha stavebních strojů finišerů živičných a betonových směsí, Obsluha drenážních strojů a fréz, Obsluha stavebních strojů zařízení pro míchání injektážní malty a injektování, Obsluha stavebních strojů skrejprů s pásovým tahačem, Obsluha stavebních strojů speciálních motorových sněhových fréz, Obsluha stavebních strojů korečkových hlubidel, Obsluha stavebních strojů truboukladčíků, Obsluha stavebních strojů speciálních přepravníků čerstvého betonu, Obsluha stavebních strojů pro zakládání - vrtané piloty, beranidla a vytahovače</w:t>
            </w:r>
          </w:p>
        </w:tc>
      </w:tr>
      <w:tr>
        <w:trPr/>
        <w:tc>
          <w:tcPr/>
          <w:p>
            <w:pPr/>
            <w:r>
              <w:rPr>
                <w:b w:val="1"/>
                <w:bCs w:val="1"/>
              </w:rPr>
              <w:t xml:space="preserve">Regulovaná jednotka práce:</w:t>
            </w:r>
          </w:p>
        </w:tc>
        <w:tc>
          <w:tcPr/>
          <w:p>
            <w:pPr/>
            <w:r>
              <w:rPr/>
              <w:t xml:space="preserve">ne</w:t>
            </w:r>
          </w:p>
        </w:tc>
      </w:tr>
    </w:tbl>
    <w:p/>
    <w:p>
      <w:pPr>
        <w:pStyle w:val="Heading2"/>
      </w:pPr>
      <w:bookmarkStart w:id="2" w:name="_Toc2"/>
      <w:r>
        <w:t>Pracovní činnosti</w:t>
      </w:r>
      <w:bookmarkEnd w:id="2"/>
    </w:p>
    <w:p>
      <w:pPr>
        <w:numPr>
          <w:ilvl w:val="0"/>
          <w:numId w:val="5"/>
        </w:numPr>
      </w:pPr>
      <w:r>
        <w:rPr/>
        <w:t xml:space="preserve">Výběr vhodného kompresoru o potřebném výkonu na stavbě podle projektové dokumentace a technické zprávy.</w:t>
      </w:r>
    </w:p>
    <w:p>
      <w:pPr>
        <w:numPr>
          <w:ilvl w:val="0"/>
          <w:numId w:val="5"/>
        </w:numPr>
      </w:pPr>
      <w:r>
        <w:rPr/>
        <w:t xml:space="preserve">Doprava kompresoru na staveniště a umístění kompresoru.</w:t>
      </w:r>
    </w:p>
    <w:p>
      <w:pPr>
        <w:numPr>
          <w:ilvl w:val="0"/>
          <w:numId w:val="5"/>
        </w:numPr>
      </w:pPr>
      <w:r>
        <w:rPr/>
        <w:t xml:space="preserve">Uvedení kompresoru do provozu.</w:t>
      </w:r>
    </w:p>
    <w:p>
      <w:pPr>
        <w:numPr>
          <w:ilvl w:val="0"/>
          <w:numId w:val="5"/>
        </w:numPr>
      </w:pPr>
      <w:r>
        <w:rPr/>
        <w:t xml:space="preserve">Zapojení příslušných odběrů.</w:t>
      </w:r>
    </w:p>
    <w:p>
      <w:pPr>
        <w:numPr>
          <w:ilvl w:val="0"/>
          <w:numId w:val="5"/>
        </w:numPr>
      </w:pPr>
      <w:r>
        <w:rPr/>
        <w:t xml:space="preserve">Kontrola práce kompresoru.</w:t>
      </w:r>
    </w:p>
    <w:p>
      <w:pPr>
        <w:numPr>
          <w:ilvl w:val="0"/>
          <w:numId w:val="5"/>
        </w:numPr>
      </w:pPr>
      <w:r>
        <w:rPr/>
        <w:t xml:space="preserve">Ošetření a údržba strojů a nástrojů po skončení práce.</w:t>
      </w:r>
    </w:p>
    <w:p>
      <w:pPr>
        <w:numPr>
          <w:ilvl w:val="0"/>
          <w:numId w:val="5"/>
        </w:numPr>
      </w:pPr>
      <w:r>
        <w:rPr/>
        <w:t xml:space="preserve">Vedení technické dokumentace.</w:t>
      </w:r>
    </w:p>
    <w:p/>
    <w:p>
      <w:pPr>
        <w:pStyle w:val="Heading2"/>
      </w:pPr>
      <w:bookmarkStart w:id="3" w:name="_Toc3"/>
      <w:r>
        <w:t>CZ-ISCO</w:t>
      </w:r>
      <w:bookmarkEnd w:id="3"/>
    </w:p>
    <w:p>
      <w:pPr>
        <w:numPr>
          <w:ilvl w:val="0"/>
          <w:numId w:val="5"/>
        </w:numPr>
      </w:pPr>
      <w:r>
        <w:rPr/>
        <w:t xml:space="preserve">Obsluha zemních a příbuzných strojů</w:t>
      </w:r>
    </w:p>
    <w:p>
      <w:pPr>
        <w:numPr>
          <w:ilvl w:val="0"/>
          <w:numId w:val="5"/>
        </w:numPr>
      </w:pPr>
      <w:r>
        <w:rPr/>
        <w:t xml:space="preserve">Obsluha železničních, zemních a příbuzných strojů a zařízení</w:t>
      </w:r>
    </w:p>
    <w:p/>
    <w:p>
      <w:pPr>
        <w:pStyle w:val="Heading3"/>
      </w:pPr>
      <w:bookmarkStart w:id="4" w:name="_Toc4"/>
      <w:r>
        <w:t>Hrubé měsíční mzdy podle krajů v roce 2025</w:t>
      </w:r>
      <w:bookmarkEnd w:id="4"/>
    </w:p>
    <w:p>
      <w:pPr>
        <w:pStyle w:val="Heading4"/>
      </w:pPr>
      <w:bookmarkStart w:id="5" w:name="_Toc5"/>
      <w:r>
        <w:t>Obsluha železničních, zemních a příbuzných strojů a zařízení (CZ-ISCO 8342)</w:t>
      </w:r>
      <w:bookmarkEnd w:id="5"/>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pPr>
              <w:jc w:val="center"/>
            </w:pPr>
            <w:r>
              <w:rPr/>
              <w:t xml:space="preserve">22 620 Kč</w:t>
            </w:r>
          </w:p>
        </w:tc>
        <w:tc>
          <w:tcPr>
            <w:tcW w:w="1000" w:type="dxa"/>
          </w:tcPr>
          <w:p>
            <w:pPr>
              <w:jc w:val="center"/>
            </w:pPr>
            <w:r>
              <w:rPr/>
              <w:t xml:space="preserve">58 032 Kč</w:t>
            </w:r>
          </w:p>
        </w:tc>
        <w:tc>
          <w:tcPr>
            <w:tcW w:w="1000" w:type="dxa"/>
          </w:tcPr>
          <w:p>
            <w:pPr>
              <w:jc w:val="center"/>
            </w:pPr>
            <w:r>
              <w:rPr/>
              <w:t xml:space="preserve">79 947 Kč</w:t>
            </w:r>
          </w:p>
        </w:tc>
        <w:tc>
          <w:tcPr>
            <w:tcW w:w="1000" w:type="dxa"/>
          </w:tcPr>
          <w:p/>
        </w:tc>
        <w:tc>
          <w:tcPr>
            <w:tcW w:w="1000" w:type="dxa"/>
          </w:tcPr>
          <w:p/>
        </w:tc>
        <w:tc>
          <w:tcPr>
            <w:tcW w:w="1000" w:type="dxa"/>
          </w:tcPr>
          <w:p/>
        </w:tc>
      </w:tr>
      <w:tr>
        <w:trPr/>
        <w:tc>
          <w:tcPr>
            <w:tcW w:w="2000" w:type="dxa"/>
          </w:tcPr>
          <w:p>
            <w:pPr/>
            <w:r>
              <w:rPr/>
              <w:t xml:space="preserve">Středočeský kraj</w:t>
            </w:r>
          </w:p>
        </w:tc>
        <w:tc>
          <w:tcPr>
            <w:tcW w:w="1000" w:type="dxa"/>
          </w:tcPr>
          <w:p>
            <w:pPr>
              <w:jc w:val="center"/>
            </w:pPr>
            <w:r>
              <w:rPr/>
              <w:t xml:space="preserve">21 415 Kč</w:t>
            </w:r>
          </w:p>
        </w:tc>
        <w:tc>
          <w:tcPr>
            <w:tcW w:w="1000" w:type="dxa"/>
          </w:tcPr>
          <w:p>
            <w:pPr>
              <w:jc w:val="center"/>
            </w:pPr>
            <w:r>
              <w:rPr/>
              <w:t xml:space="preserve">46 588 Kč</w:t>
            </w:r>
          </w:p>
        </w:tc>
        <w:tc>
          <w:tcPr>
            <w:tcW w:w="1000" w:type="dxa"/>
          </w:tcPr>
          <w:p>
            <w:pPr>
              <w:jc w:val="center"/>
            </w:pPr>
            <w:r>
              <w:rPr/>
              <w:t xml:space="preserve">62 339 Kč</w:t>
            </w:r>
          </w:p>
        </w:tc>
        <w:tc>
          <w:tcPr>
            <w:tcW w:w="1000" w:type="dxa"/>
          </w:tcPr>
          <w:p/>
        </w:tc>
        <w:tc>
          <w:tcPr>
            <w:tcW w:w="1000" w:type="dxa"/>
          </w:tcPr>
          <w:p/>
        </w:tc>
        <w:tc>
          <w:tcPr>
            <w:tcW w:w="1000" w:type="dxa"/>
          </w:tcPr>
          <w:p/>
        </w:tc>
      </w:tr>
      <w:tr>
        <w:trPr/>
        <w:tc>
          <w:tcPr>
            <w:tcW w:w="2000" w:type="dxa"/>
          </w:tcPr>
          <w:p>
            <w:pPr/>
            <w:r>
              <w:rPr/>
              <w:t xml:space="preserve">Ústecký kraj</w:t>
            </w:r>
          </w:p>
        </w:tc>
        <w:tc>
          <w:tcPr>
            <w:tcW w:w="1000" w:type="dxa"/>
          </w:tcPr>
          <w:p>
            <w:pPr>
              <w:jc w:val="center"/>
            </w:pPr>
            <w:r>
              <w:rPr/>
              <w:t xml:space="preserve">34 929 Kč</w:t>
            </w:r>
          </w:p>
        </w:tc>
        <w:tc>
          <w:tcPr>
            <w:tcW w:w="1000" w:type="dxa"/>
          </w:tcPr>
          <w:p>
            <w:pPr>
              <w:jc w:val="center"/>
            </w:pPr>
            <w:r>
              <w:rPr/>
              <w:t xml:space="preserve">46 301 Kč</w:t>
            </w:r>
          </w:p>
        </w:tc>
        <w:tc>
          <w:tcPr>
            <w:tcW w:w="1000" w:type="dxa"/>
          </w:tcPr>
          <w:p>
            <w:pPr>
              <w:jc w:val="center"/>
            </w:pPr>
            <w:r>
              <w:rPr/>
              <w:t xml:space="preserve">60 652 Kč</w:t>
            </w:r>
          </w:p>
        </w:tc>
        <w:tc>
          <w:tcPr>
            <w:tcW w:w="1000" w:type="dxa"/>
          </w:tcPr>
          <w:p/>
        </w:tc>
        <w:tc>
          <w:tcPr>
            <w:tcW w:w="1000" w:type="dxa"/>
          </w:tcPr>
          <w:p/>
        </w:tc>
        <w:tc>
          <w:tcPr>
            <w:tcW w:w="1000" w:type="dxa"/>
          </w:tcPr>
          <w:p/>
        </w:tc>
      </w:tr>
      <w:tr>
        <w:trPr/>
        <w:tc>
          <w:tcPr>
            <w:tcW w:w="2000" w:type="dxa"/>
          </w:tcPr>
          <w:p>
            <w:pPr/>
            <w:r>
              <w:rPr/>
              <w:t xml:space="preserve">Kraj Vysočina</w:t>
            </w:r>
          </w:p>
        </w:tc>
        <w:tc>
          <w:tcPr>
            <w:tcW w:w="1000" w:type="dxa"/>
          </w:tcPr>
          <w:p>
            <w:pPr>
              <w:jc w:val="center"/>
            </w:pPr>
            <w:r>
              <w:rPr/>
              <w:t xml:space="preserve">27 007 Kč</w:t>
            </w:r>
          </w:p>
        </w:tc>
        <w:tc>
          <w:tcPr>
            <w:tcW w:w="1000" w:type="dxa"/>
          </w:tcPr>
          <w:p>
            <w:pPr>
              <w:jc w:val="center"/>
            </w:pPr>
            <w:r>
              <w:rPr/>
              <w:t xml:space="preserve">45 441 Kč</w:t>
            </w:r>
          </w:p>
        </w:tc>
        <w:tc>
          <w:tcPr>
            <w:tcW w:w="1000" w:type="dxa"/>
          </w:tcPr>
          <w:p>
            <w:pPr>
              <w:jc w:val="center"/>
            </w:pPr>
            <w:r>
              <w:rPr/>
              <w:t xml:space="preserve">59 939 Kč</w:t>
            </w:r>
          </w:p>
        </w:tc>
        <w:tc>
          <w:tcPr>
            <w:tcW w:w="1000" w:type="dxa"/>
          </w:tcPr>
          <w:p/>
        </w:tc>
        <w:tc>
          <w:tcPr>
            <w:tcW w:w="1000" w:type="dxa"/>
          </w:tcPr>
          <w:p/>
        </w:tc>
        <w:tc>
          <w:tcPr>
            <w:tcW w:w="1000" w:type="dxa"/>
          </w:tcPr>
          <w:p/>
        </w:tc>
      </w:tr>
      <w:tr>
        <w:trPr/>
        <w:tc>
          <w:tcPr>
            <w:tcW w:w="2000" w:type="dxa"/>
          </w:tcPr>
          <w:p>
            <w:pPr/>
            <w:r>
              <w:rPr/>
              <w:t xml:space="preserve">Jihomoravský kraj</w:t>
            </w:r>
          </w:p>
        </w:tc>
        <w:tc>
          <w:tcPr>
            <w:tcW w:w="1000" w:type="dxa"/>
          </w:tcPr>
          <w:p>
            <w:pPr>
              <w:jc w:val="center"/>
            </w:pPr>
            <w:r>
              <w:rPr/>
              <w:t xml:space="preserve">34 263 Kč</w:t>
            </w:r>
          </w:p>
        </w:tc>
        <w:tc>
          <w:tcPr>
            <w:tcW w:w="1000" w:type="dxa"/>
          </w:tcPr>
          <w:p>
            <w:pPr>
              <w:jc w:val="center"/>
            </w:pPr>
            <w:r>
              <w:rPr/>
              <w:t xml:space="preserve">47 140 Kč</w:t>
            </w:r>
          </w:p>
        </w:tc>
        <w:tc>
          <w:tcPr>
            <w:tcW w:w="1000" w:type="dxa"/>
          </w:tcPr>
          <w:p>
            <w:pPr>
              <w:jc w:val="center"/>
            </w:pPr>
            <w:r>
              <w:rPr/>
              <w:t xml:space="preserve">63 482 Kč</w:t>
            </w:r>
          </w:p>
        </w:tc>
        <w:tc>
          <w:tcPr>
            <w:tcW w:w="1000" w:type="dxa"/>
          </w:tcPr>
          <w:p/>
        </w:tc>
        <w:tc>
          <w:tcPr>
            <w:tcW w:w="1000" w:type="dxa"/>
          </w:tcPr>
          <w:p/>
        </w:tc>
        <w:tc>
          <w:tcPr>
            <w:tcW w:w="1000" w:type="dxa"/>
          </w:tcPr>
          <w:p/>
        </w:tc>
      </w:tr>
      <w:tr>
        <w:trPr/>
        <w:tc>
          <w:tcPr>
            <w:tcW w:w="2000" w:type="dxa"/>
          </w:tcPr>
          <w:p>
            <w:pPr/>
            <w:r>
              <w:rPr/>
              <w:t xml:space="preserve">Olomoucký kraj</w:t>
            </w:r>
          </w:p>
        </w:tc>
        <w:tc>
          <w:tcPr>
            <w:tcW w:w="1000" w:type="dxa"/>
          </w:tcPr>
          <w:p>
            <w:pPr>
              <w:jc w:val="center"/>
            </w:pPr>
            <w:r>
              <w:rPr/>
              <w:t xml:space="preserve">32 864 Kč</w:t>
            </w:r>
          </w:p>
        </w:tc>
        <w:tc>
          <w:tcPr>
            <w:tcW w:w="1000" w:type="dxa"/>
          </w:tcPr>
          <w:p>
            <w:pPr>
              <w:jc w:val="center"/>
            </w:pPr>
            <w:r>
              <w:rPr/>
              <w:t xml:space="preserve">43 787 Kč</w:t>
            </w:r>
          </w:p>
        </w:tc>
        <w:tc>
          <w:tcPr>
            <w:tcW w:w="1000" w:type="dxa"/>
          </w:tcPr>
          <w:p>
            <w:pPr>
              <w:jc w:val="center"/>
            </w:pPr>
            <w:r>
              <w:rPr/>
              <w:t xml:space="preserve">74 167 Kč</w:t>
            </w:r>
          </w:p>
        </w:tc>
        <w:tc>
          <w:tcPr>
            <w:tcW w:w="1000" w:type="dxa"/>
          </w:tcPr>
          <w:p/>
        </w:tc>
        <w:tc>
          <w:tcPr>
            <w:tcW w:w="1000" w:type="dxa"/>
          </w:tcPr>
          <w:p/>
        </w:tc>
        <w:tc>
          <w:tcPr>
            <w:tcW w:w="1000" w:type="dxa"/>
          </w:tcPr>
          <w:p/>
        </w:tc>
      </w:tr>
      <w:tr>
        <w:trPr/>
        <w:tc>
          <w:tcPr>
            <w:tcW w:w="2000" w:type="dxa"/>
          </w:tcPr>
          <w:p>
            <w:pPr/>
            <w:r>
              <w:rPr/>
              <w:t xml:space="preserve">Zlínský kraj</w:t>
            </w:r>
          </w:p>
        </w:tc>
        <w:tc>
          <w:tcPr>
            <w:tcW w:w="1000" w:type="dxa"/>
          </w:tcPr>
          <w:p>
            <w:pPr>
              <w:jc w:val="center"/>
            </w:pPr>
            <w:r>
              <w:rPr/>
              <w:t xml:space="preserve">26 567 Kč</w:t>
            </w:r>
          </w:p>
        </w:tc>
        <w:tc>
          <w:tcPr>
            <w:tcW w:w="1000" w:type="dxa"/>
          </w:tcPr>
          <w:p>
            <w:pPr>
              <w:jc w:val="center"/>
            </w:pPr>
            <w:r>
              <w:rPr/>
              <w:t xml:space="preserve">41 320 Kč</w:t>
            </w:r>
          </w:p>
        </w:tc>
        <w:tc>
          <w:tcPr>
            <w:tcW w:w="1000" w:type="dxa"/>
          </w:tcPr>
          <w:p>
            <w:pPr>
              <w:jc w:val="center"/>
            </w:pPr>
            <w:r>
              <w:rPr/>
              <w:t xml:space="preserve">53 949 Kč</w:t>
            </w:r>
          </w:p>
        </w:tc>
        <w:tc>
          <w:tcPr>
            <w:tcW w:w="1000" w:type="dxa"/>
          </w:tcPr>
          <w:p/>
        </w:tc>
        <w:tc>
          <w:tcPr>
            <w:tcW w:w="1000" w:type="dxa"/>
          </w:tcPr>
          <w:p/>
        </w:tc>
        <w:tc>
          <w:tcPr>
            <w:tcW w:w="1000" w:type="dxa"/>
          </w:tcPr>
          <w:p/>
        </w:tc>
      </w:tr>
      <w:tr>
        <w:trPr/>
        <w:tc>
          <w:tcPr>
            <w:tcW w:w="2000" w:type="dxa"/>
          </w:tcPr>
          <w:p>
            <w:pPr/>
            <w:r>
              <w:rPr/>
              <w:t xml:space="preserve">Moravskoslezský kraj</w:t>
            </w:r>
          </w:p>
        </w:tc>
        <w:tc>
          <w:tcPr>
            <w:tcW w:w="1000" w:type="dxa"/>
          </w:tcPr>
          <w:p>
            <w:pPr>
              <w:jc w:val="center"/>
            </w:pPr>
            <w:r>
              <w:rPr/>
              <w:t xml:space="preserve">31 602 Kč</w:t>
            </w:r>
          </w:p>
        </w:tc>
        <w:tc>
          <w:tcPr>
            <w:tcW w:w="1000" w:type="dxa"/>
          </w:tcPr>
          <w:p>
            <w:pPr>
              <w:jc w:val="center"/>
            </w:pPr>
            <w:r>
              <w:rPr/>
              <w:t xml:space="preserve">44 635 Kč</w:t>
            </w:r>
          </w:p>
        </w:tc>
        <w:tc>
          <w:tcPr>
            <w:tcW w:w="1000" w:type="dxa"/>
          </w:tcPr>
          <w:p>
            <w:pPr>
              <w:jc w:val="center"/>
            </w:pPr>
            <w:r>
              <w:rPr/>
              <w:t xml:space="preserve">67 270 Kč</w:t>
            </w:r>
          </w:p>
        </w:tc>
        <w:tc>
          <w:tcPr>
            <w:tcW w:w="1000" w:type="dxa"/>
          </w:tcPr>
          <w:p/>
        </w:tc>
        <w:tc>
          <w:tcPr>
            <w:tcW w:w="1000" w:type="dxa"/>
          </w:tcPr>
          <w:p/>
        </w:tc>
        <w:tc>
          <w:tcPr>
            <w:tcW w:w="1000" w:type="dxa"/>
          </w:tcPr>
          <w:p/>
        </w:tc>
      </w:tr>
    </w:tbl>
    <w:p/>
    <w:p>
      <w:pPr>
        <w:pStyle w:val="Heading3"/>
      </w:pPr>
      <w:bookmarkStart w:id="6" w:name="_Toc6"/>
      <w:r>
        <w:t>Hrubé měsíční mzdy v roce 2025 celkem</w:t>
      </w:r>
      <w:bookmarkEnd w:id="6"/>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8342</w:t>
            </w:r>
          </w:p>
        </w:tc>
        <w:tc>
          <w:tcPr>
            <w:tcW w:w="2000" w:type="dxa"/>
          </w:tcPr>
          <w:p>
            <w:pPr/>
            <w:r>
              <w:rPr/>
              <w:t xml:space="preserve">Obsluha železničních, zemních a příbuzných strojů a zařízení</w:t>
            </w:r>
          </w:p>
        </w:tc>
        <w:tc>
          <w:tcPr>
            <w:tcW w:w="1000" w:type="dxa"/>
          </w:tcPr>
          <w:p>
            <w:pPr>
              <w:jc w:val="center"/>
            </w:pPr>
            <w:r>
              <w:rPr/>
              <w:t xml:space="preserve">38 394 Kč</w:t>
            </w:r>
          </w:p>
        </w:tc>
        <w:tc>
          <w:tcPr>
            <w:tcW w:w="1000" w:type="dxa"/>
          </w:tcPr>
          <w:p>
            <w:pPr>
              <w:jc w:val="center"/>
            </w:pPr>
            <w:r>
              <w:rPr/>
              <w:t xml:space="preserve">47 109 Kč</w:t>
            </w:r>
          </w:p>
        </w:tc>
      </w:tr>
      <w:tr>
        <w:trPr/>
        <w:tc>
          <w:tcPr>
            <w:tcW w:w="1000" w:type="dxa"/>
          </w:tcPr>
          <w:p>
            <w:pPr>
              <w:jc w:val="center"/>
            </w:pPr>
            <w:r>
              <w:rPr/>
              <w:t xml:space="preserve">83422</w:t>
            </w:r>
          </w:p>
        </w:tc>
        <w:tc>
          <w:tcPr>
            <w:tcW w:w="2000" w:type="dxa"/>
          </w:tcPr>
          <w:p>
            <w:pPr/>
            <w:r>
              <w:rPr/>
              <w:t xml:space="preserve">Obsluha zemních a příbuzných strojů</w:t>
            </w:r>
          </w:p>
        </w:tc>
        <w:tc>
          <w:tcPr>
            <w:tcW w:w="1000" w:type="dxa"/>
          </w:tcPr>
          <w:p>
            <w:pPr>
              <w:jc w:val="center"/>
            </w:pPr>
            <w:r>
              <w:rPr/>
              <w:t xml:space="preserve">38 394 Kč</w:t>
            </w:r>
          </w:p>
        </w:tc>
        <w:tc>
          <w:tcPr>
            <w:tcW w:w="1000" w:type="dxa"/>
          </w:tcPr>
          <w:p>
            <w:pPr>
              <w:jc w:val="center"/>
            </w:pPr>
            <w:r>
              <w:rPr/>
              <w:t xml:space="preserve">46 529 Kč</w:t>
            </w:r>
          </w:p>
        </w:tc>
      </w:tr>
    </w:tbl>
    <w:p/>
    <w:p>
      <w:pPr>
        <w:pStyle w:val="Heading2"/>
      </w:pPr>
      <w:bookmarkStart w:id="7" w:name="_Toc7"/>
      <w:r>
        <w:t>ESCO</w:t>
      </w:r>
      <w:bookmarkEnd w:id="7"/>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8342</w:t>
            </w:r>
          </w:p>
        </w:tc>
        <w:tc>
          <w:tcPr>
            <w:tcW w:w="3000" w:type="dxa"/>
          </w:tcPr>
          <w:p>
            <w:pPr/>
            <w:r>
              <w:rPr/>
              <w:t xml:space="preserve">Obsluha zemních a příbuzných strojů</w:t>
            </w:r>
          </w:p>
        </w:tc>
        <w:tc>
          <w:tcPr>
            <w:tcW w:w="3000" w:type="dxa"/>
          </w:tcPr>
          <w:p>
            <w:pPr/>
            <w:r>
              <w:rPr/>
              <w:t xml:space="preserve">http://data.europa.eu/esco/isco/C8342</w:t>
            </w:r>
          </w:p>
        </w:tc>
      </w:tr>
    </w:tbl>
    <w:p/>
    <w:p/>
    <w:p/>
    <w:p>
      <w:pPr>
        <w:pStyle w:val="Heading2"/>
      </w:pPr>
      <w:bookmarkStart w:id="8" w:name="_Toc8"/>
      <w:r>
        <w:t>Pracovní podmínky</w:t>
      </w:r>
      <w:bookmarkEnd w:id="8"/>
    </w:p>
    <w:p>
      <w:pPr/>
      <w:r>
        <w:rPr/>
        <w:t xml:space="preserve">Rizikové faktory pracovních podmínek a vyskytující se druhy zátěže upravuje nařízení vlády č. 361/2007 Sb., kterým se stanoví podmínky ochrany zdraví při práci, zákon č. 258/2000 Sb., o ochraně veřejného zdraví a zákon č. 262/2006 Sb., zákoník práce. Vždy vyplývají z pracovních podmínek, které se vztahují ke konkrétnímu zaměstnavateli, tudíž se mohou u různých zaměstnavatelů lišit.</w:t>
      </w:r>
    </w:p>
    <w:p/>
    <w:p>
      <w:pPr/>
      <w:r>
        <w:rPr/>
        <w:t xml:space="preserve">Určení míry výskytu faktorů, které mohou ovlivnit zdraví při práci vychází z druhu práce vykonávané na pracovišti. Faktory se zařazují do čtyř kategorií dle míry zdravotního rizika a jeho vlivu na zdraví. O zařazení prací do třetí nebo čtvrté kategorie rozhoduje příslušný orgán ochrany veřejného zdraví.</w:t>
      </w:r>
    </w:p>
    <w:p/>
    <w:p>
      <w:pPr>
        <w:numPr>
          <w:ilvl w:val="0"/>
          <w:numId w:val="5"/>
        </w:numPr>
      </w:pPr>
      <w:r>
        <w:rPr>
          <w:sz w:val="16"/>
          <w:szCs w:val="16"/>
          <w:i w:val="1"/>
          <w:iCs w:val="1"/>
        </w:rPr>
        <w:t xml:space="preserve">1. Stupeň zátěže (minimální zdravotní riziko) - Faktor se při výkonu práce nevyskytuje nebo je zátěž faktorem minimální, vliv faktoru je ze zdravotního hlediska nevýznamný.</w:t>
      </w:r>
    </w:p>
    <w:p>
      <w:pPr>
        <w:numPr>
          <w:ilvl w:val="0"/>
          <w:numId w:val="5"/>
        </w:numPr>
      </w:pPr>
      <w:r>
        <w:rPr>
          <w:sz w:val="16"/>
          <w:szCs w:val="16"/>
          <w:i w:val="1"/>
          <w:iCs w:val="1"/>
        </w:rPr>
        <w:t xml:space="preserve">2. Stupeň zátěže (únosná míra zdravotního rizika) - Ze zdravotního hlediska je míra zátěže faktorem únosná, nepřekračuje limity stanovené předpisy, vliv faktoru je akceptovatelný pro zdravého člověka.</w:t>
      </w:r>
    </w:p>
    <w:p>
      <w:pPr>
        <w:numPr>
          <w:ilvl w:val="0"/>
          <w:numId w:val="5"/>
        </w:numPr>
      </w:pPr>
      <w:r>
        <w:rPr>
          <w:sz w:val="16"/>
          <w:szCs w:val="16"/>
          <w:i w:val="1"/>
          <w:iCs w:val="1"/>
        </w:rPr>
        <w:t xml:space="preserve">3. Stupeň zátěže (významná míra zdravotního rizika) - Úroveň zátěže překračuje stanovené limitní hodnoty expozice (zátěže), na pracovištích je nutná realizace náhradních technických a organizačních opatření, nelze vyloučit negativní vliv na zdraví pracovníků.</w:t>
      </w:r>
    </w:p>
    <w:p>
      <w:pPr>
        <w:numPr>
          <w:ilvl w:val="0"/>
          <w:numId w:val="5"/>
        </w:numPr>
      </w:pPr>
      <w:r>
        <w:rPr>
          <w:sz w:val="16"/>
          <w:szCs w:val="16"/>
          <w:i w:val="1"/>
          <w:iCs w:val="1"/>
        </w:rPr>
        <w:t xml:space="preserve">4. Stupeň zátěže (vysoká míra zdravotního rizika) - Úroveň zátěže vysoce překračuje stanovené limitní hodnoty expozice, na pracovištích musí být dodržován soubor preventivních opatření, častěji dochází k poškození zdraví.</w:t>
      </w:r>
    </w:p>
    <w:p/>
    <w:p/>
    <w:p>
      <w:pPr>
        <w:pStyle w:val="Heading2"/>
      </w:pPr>
      <w:bookmarkStart w:id="9" w:name="_Toc9"/>
      <w:r>
        <w:t>Kvalifikace k výkonu povolání</w:t>
      </w:r>
      <w:bookmarkEnd w:id="9"/>
    </w:p>
    <w:p>
      <w:pPr>
        <w:pStyle w:val="Heading3"/>
      </w:pPr>
      <w:bookmarkStart w:id="10" w:name="_Toc10"/>
      <w:r>
        <w:t>Školní vzdělání</w:t>
      </w:r>
      <w:bookmarkEnd w:id="10"/>
    </w:p>
    <w:p/>
    <w:p>
      <w:pPr>
        <w:pStyle w:val="Heading4"/>
      </w:pPr>
      <w:bookmarkStart w:id="11" w:name="_Toc11"/>
      <w:r>
        <w:t>Nejvhodnější školní přípravu poskytují obory:</w:t>
      </w:r>
      <w:bookmarkEnd w:id="11"/>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výučním listem v oboru strojník, práce při obsluze strojů</w:t>
            </w:r>
          </w:p>
        </w:tc>
        <w:tc>
          <w:tcPr>
            <w:tcW w:w="2000" w:type="dxa"/>
          </w:tcPr>
          <w:p>
            <w:pPr>
              <w:jc w:val="center"/>
            </w:pPr>
            <w:r>
              <w:rPr/>
              <w:t xml:space="preserve">2365H</w:t>
            </w:r>
          </w:p>
        </w:tc>
      </w:tr>
      <w:tr>
        <w:trPr/>
        <w:tc>
          <w:tcPr>
            <w:tcW w:w="2000" w:type="dxa"/>
          </w:tcPr>
          <w:p>
            <w:pPr>
              <w:jc w:val="center"/>
            </w:pPr>
            <w:r>
              <w:rPr/>
              <w:t xml:space="preserve">RVP</w:t>
            </w:r>
          </w:p>
        </w:tc>
        <w:tc>
          <w:tcPr>
            <w:tcW w:w="5000" w:type="dxa"/>
          </w:tcPr>
          <w:p>
            <w:pPr/>
            <w:r>
              <w:rPr/>
              <w:t xml:space="preserve">Stavebnictví</w:t>
            </w:r>
          </w:p>
        </w:tc>
        <w:tc>
          <w:tcPr>
            <w:tcW w:w="2000" w:type="dxa"/>
          </w:tcPr>
          <w:p>
            <w:pPr>
              <w:jc w:val="center"/>
            </w:pPr>
            <w:r>
              <w:rPr/>
              <w:t xml:space="preserve">36-47-M/01</w:t>
            </w:r>
          </w:p>
        </w:tc>
      </w:tr>
    </w:tbl>
    <w:p/>
    <w:p>
      <w:pPr>
        <w:pStyle w:val="Heading4"/>
      </w:pPr>
      <w:bookmarkStart w:id="12" w:name="_Toc12"/>
      <w:r>
        <w:t>Vhodnou školní přípravu poskytují také obory:</w:t>
      </w:r>
      <w:bookmarkEnd w:id="12"/>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výučním listem ve skupině oborů stavebnictví, geodézie a kartografie</w:t>
            </w:r>
          </w:p>
        </w:tc>
        <w:tc>
          <w:tcPr>
            <w:tcW w:w="2000" w:type="dxa"/>
          </w:tcPr>
          <w:p>
            <w:pPr>
              <w:jc w:val="center"/>
            </w:pPr>
            <w:r>
              <w:rPr/>
              <w:t xml:space="preserve">36xxH</w:t>
            </w:r>
          </w:p>
        </w:tc>
      </w:tr>
      <w:tr>
        <w:trPr/>
        <w:tc>
          <w:tcPr>
            <w:tcW w:w="2000" w:type="dxa"/>
          </w:tcPr>
          <w:p>
            <w:pPr>
              <w:jc w:val="center"/>
            </w:pPr>
            <w:r>
              <w:rPr/>
              <w:t xml:space="preserve">KKOV</w:t>
            </w:r>
          </w:p>
        </w:tc>
        <w:tc>
          <w:tcPr>
            <w:tcW w:w="5000" w:type="dxa"/>
          </w:tcPr>
          <w:p>
            <w:pPr/>
            <w:r>
              <w:rPr/>
              <w:t xml:space="preserve">Střední vzdělání s výučním listem ve skupině oborů stavebnictví, geodézie a kartografie</w:t>
            </w:r>
          </w:p>
        </w:tc>
        <w:tc>
          <w:tcPr>
            <w:tcW w:w="2000" w:type="dxa"/>
          </w:tcPr>
          <w:p>
            <w:pPr>
              <w:jc w:val="center"/>
            </w:pPr>
            <w:r>
              <w:rPr/>
              <w:t xml:space="preserve">36xxE</w:t>
            </w:r>
          </w:p>
        </w:tc>
      </w:tr>
    </w:tbl>
    <w:p>
      <w:pPr>
        <w:pStyle w:val="Heading3"/>
      </w:pPr>
      <w:bookmarkStart w:id="13" w:name="_Toc13"/>
      <w:r>
        <w:t>Legislativní požadavky</w:t>
      </w:r>
      <w:bookmarkEnd w:id="13"/>
    </w:p>
    <w:p>
      <w:pPr>
        <w:numPr>
          <w:ilvl w:val="0"/>
          <w:numId w:val="5"/>
        </w:numPr>
      </w:pPr>
      <w:r>
        <w:rPr/>
        <w:t xml:space="preserve">povinné - Obsluha stavebních strojů - odborná způsobilost podle vyhlášky č. 77/1965 Sb., o výcviku, způsobilosti a registraci obsluh stavebních strojů  </w:t>
      </w:r>
    </w:p>
    <w:p>
      <w:pPr>
        <w:numPr>
          <w:ilvl w:val="0"/>
          <w:numId w:val="5"/>
        </w:numPr>
      </w:pPr>
      <w:r>
        <w:rPr/>
        <w:t xml:space="preserve">doporučené - Obsluha elektrocentrály s výkonem 32 kW a vyšším - odborná způsobilost podle vyhlášky č. 77/1965 Sb. o výcviku, způsobilosti a registraci obsluh stavebních strojů </w:t>
      </w:r>
    </w:p>
    <w:p/>
    <w:p/>
    <w:p>
      <w:pPr>
        <w:pStyle w:val="Heading2"/>
      </w:pPr>
      <w:bookmarkStart w:id="14" w:name="_Toc14"/>
      <w:r>
        <w:t>Kompetenční požadavky</w:t>
      </w:r>
      <w:bookmarkEnd w:id="14"/>
    </w:p>
    <w:p>
      <w:pPr>
        <w:pStyle w:val="Heading3"/>
      </w:pPr>
      <w:bookmarkStart w:id="15" w:name="_Toc15"/>
      <w:r>
        <w:t>Odborné dovednosti</w:t>
      </w:r>
      <w:bookmarkEnd w:id="15"/>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g11.B.4011</w:t>
            </w:r>
          </w:p>
        </w:tc>
        <w:tc>
          <w:tcPr>
            <w:tcW w:w="3000" w:type="dxa"/>
          </w:tcPr>
          <w:p>
            <w:pPr/>
            <w:r>
              <w:rPr/>
              <w:t xml:space="preserve">Obsluhování kompresorů</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g12.B.5614</w:t>
            </w:r>
          </w:p>
        </w:tc>
        <w:tc>
          <w:tcPr>
            <w:tcW w:w="3000" w:type="dxa"/>
          </w:tcPr>
          <w:p>
            <w:pPr/>
            <w:r>
              <w:rPr/>
              <w:t xml:space="preserve">Kontrola údajů měřicích a regulačních přístrojů na kompresorech</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e74.B.1002</w:t>
            </w:r>
          </w:p>
        </w:tc>
        <w:tc>
          <w:tcPr>
            <w:tcW w:w="3000" w:type="dxa"/>
          </w:tcPr>
          <w:p>
            <w:pPr/>
            <w:r>
              <w:rPr/>
              <w:t xml:space="preserve">Ošetřování a běžná údržba strojního zařízení kompresoru</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g12.D.2580</w:t>
            </w:r>
          </w:p>
        </w:tc>
        <w:tc>
          <w:tcPr>
            <w:tcW w:w="3000" w:type="dxa"/>
          </w:tcPr>
          <w:p>
            <w:pPr/>
            <w:r>
              <w:rPr/>
              <w:t xml:space="preserve">Vedení záznamů o provozu, revizích a opravách kompresoru</w:t>
            </w:r>
          </w:p>
        </w:tc>
        <w:tc>
          <w:tcPr>
            <w:tcW w:w="2000" w:type="dxa"/>
          </w:tcPr>
          <w:p>
            <w:pPr>
              <w:jc w:val="center"/>
            </w:pPr>
            <w:r>
              <w:rPr/>
              <w:t xml:space="preserve">3</w:t>
            </w:r>
          </w:p>
        </w:tc>
        <w:tc>
          <w:tcPr>
            <w:tcW w:w="2000" w:type="dxa"/>
          </w:tcPr>
          <w:p>
            <w:pPr>
              <w:jc w:val="center"/>
            </w:pPr>
            <w:r>
              <w:rPr/>
              <w:t xml:space="preserve">Výhodné</w:t>
            </w:r>
          </w:p>
        </w:tc>
      </w:tr>
    </w:tbl>
    <w:p>
      <w:pPr/>
      <w:r>
        <w:rPr>
          <w:sz w:val="16"/>
          <w:szCs w:val="16"/>
          <w:i w:val="1"/>
          <w:iCs w:val="1"/>
        </w:rPr>
        <w:t xml:space="preserve">Popisy úrovní naleznete zde: https://nsp.cz/downloads/Priloha_c2_manualu.pdf</w:t>
      </w:r>
    </w:p>
    <w:p/>
    <w:p>
      <w:pPr>
        <w:pStyle w:val="Heading3"/>
      </w:pPr>
      <w:bookmarkStart w:id="16" w:name="_Toc16"/>
      <w:r>
        <w:t>Odborné znalosti</w:t>
      </w:r>
      <w:bookmarkEnd w:id="16"/>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g11._.0005</w:t>
            </w:r>
          </w:p>
        </w:tc>
        <w:tc>
          <w:tcPr>
            <w:tcW w:w="3000" w:type="dxa"/>
          </w:tcPr>
          <w:p>
            <w:pPr/>
            <w:r>
              <w:rPr/>
              <w:t xml:space="preserve">bezpečnost ve stavebnictví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f11._.0002</w:t>
            </w:r>
          </w:p>
        </w:tc>
        <w:tc>
          <w:tcPr>
            <w:tcW w:w="3000" w:type="dxa"/>
          </w:tcPr>
          <w:p>
            <w:pPr/>
            <w:r>
              <w:rPr/>
              <w:t xml:space="preserve">zařízení a systémy pro výrobu a rozvod stlačeného plynu</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7" w:name="_Toc17"/>
      <w:r>
        <w:t>Digitální kompetence</w:t>
      </w:r>
      <w:bookmarkEnd w:id="17"/>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1</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1</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2</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1</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1</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1</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1</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1</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1</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1</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1</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1</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1</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1</w:t>
            </w:r>
          </w:p>
        </w:tc>
      </w:tr>
    </w:tbl>
    <w:p>
      <w:pPr/>
      <w:r>
        <w:rPr>
          <w:sz w:val="16"/>
          <w:szCs w:val="16"/>
          <w:i w:val="1"/>
          <w:iCs w:val="1"/>
        </w:rPr>
        <w:t xml:space="preserve">Popisy úrovní naleznete zde: https://nsp.cz/downloads/Priloha_c15_manualu.pdf</w:t>
      </w:r>
    </w:p>
    <w:p/>
    <w:p>
      <w:pPr>
        <w:pStyle w:val="Heading3"/>
      </w:pPr>
      <w:bookmarkStart w:id="18" w:name="_Toc18"/>
      <w:r>
        <w:t>Měkké kompetence</w:t>
      </w:r>
      <w:bookmarkEnd w:id="18"/>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2.2</w:t>
            </w:r>
          </w:p>
        </w:tc>
        <w:tc>
          <w:tcPr>
            <w:tcW w:w="5000" w:type="dxa"/>
          </w:tcPr>
          <w:p>
            <w:pPr/>
            <w:r>
              <w:rPr/>
              <w:t xml:space="preserve">Kompetence ke kooperaci</w:t>
            </w:r>
          </w:p>
        </w:tc>
        <w:tc>
          <w:tcPr>
            <w:tcW w:w="2000" w:type="dxa"/>
          </w:tcPr>
          <w:p>
            <w:pPr>
              <w:jc w:val="center"/>
            </w:pPr>
            <w:r>
              <w:rPr/>
              <w:t xml:space="preserve">2</w:t>
            </w:r>
          </w:p>
        </w:tc>
      </w:tr>
      <w:tr>
        <w:trPr/>
        <w:tc>
          <w:tcPr>
            <w:tcW w:w="2000" w:type="dxa"/>
          </w:tcPr>
          <w:p>
            <w:pPr>
              <w:jc w:val="center"/>
            </w:pPr>
            <w:r>
              <w:rPr/>
              <w:t xml:space="preserve">4.6</w:t>
            </w:r>
          </w:p>
        </w:tc>
        <w:tc>
          <w:tcPr>
            <w:tcW w:w="5000" w:type="dxa"/>
          </w:tcPr>
          <w:p>
            <w:pPr/>
            <w:r>
              <w:rPr/>
              <w:t xml:space="preserve">Kompetence k výkonnosti</w:t>
            </w:r>
          </w:p>
        </w:tc>
        <w:tc>
          <w:tcPr>
            <w:tcW w:w="2000" w:type="dxa"/>
          </w:tcPr>
          <w:p>
            <w:pPr>
              <w:jc w:val="center"/>
            </w:pPr>
            <w:r>
              <w:rPr/>
              <w:t xml:space="preserve">2</w:t>
            </w:r>
          </w:p>
        </w:tc>
      </w:tr>
      <w:tr>
        <w:trPr/>
        <w:tc>
          <w:tcPr>
            <w:tcW w:w="2000" w:type="dxa"/>
          </w:tcPr>
          <w:p>
            <w:pPr>
              <w:jc w:val="center"/>
            </w:pPr>
            <w:r>
              <w:rPr/>
              <w:t xml:space="preserve">4.5</w:t>
            </w:r>
          </w:p>
        </w:tc>
        <w:tc>
          <w:tcPr>
            <w:tcW w:w="5000" w:type="dxa"/>
          </w:tcPr>
          <w:p>
            <w:pPr/>
            <w:r>
              <w:rPr/>
              <w:t xml:space="preserve">Kompetence k samostatnosti</w:t>
            </w:r>
          </w:p>
        </w:tc>
        <w:tc>
          <w:tcPr>
            <w:tcW w:w="2000" w:type="dxa"/>
          </w:tcPr>
          <w:p>
            <w:pPr>
              <w:jc w:val="center"/>
            </w:pPr>
            <w:r>
              <w:rPr/>
              <w:t xml:space="preserve">3</w:t>
            </w:r>
          </w:p>
        </w:tc>
      </w:tr>
      <w:tr>
        <w:trPr/>
        <w:tc>
          <w:tcPr>
            <w:tcW w:w="2000" w:type="dxa"/>
          </w:tcPr>
          <w:p>
            <w:pPr>
              <w:jc w:val="center"/>
            </w:pPr>
            <w:r>
              <w:rPr/>
              <w:t xml:space="preserve">4.4</w:t>
            </w:r>
          </w:p>
        </w:tc>
        <w:tc>
          <w:tcPr>
            <w:tcW w:w="5000" w:type="dxa"/>
          </w:tcPr>
          <w:p>
            <w:pPr/>
            <w:r>
              <w:rPr/>
              <w:t xml:space="preserve">Kompetence k řešení problémů</w:t>
            </w:r>
          </w:p>
        </w:tc>
        <w:tc>
          <w:tcPr>
            <w:tcW w:w="2000" w:type="dxa"/>
          </w:tcPr>
          <w:p>
            <w:pPr>
              <w:jc w:val="center"/>
            </w:pPr>
            <w:r>
              <w:rPr/>
              <w:t xml:space="preserve">1</w:t>
            </w:r>
          </w:p>
        </w:tc>
      </w:tr>
      <w:tr>
        <w:trPr/>
        <w:tc>
          <w:tcPr>
            <w:tcW w:w="2000" w:type="dxa"/>
          </w:tcPr>
          <w:p>
            <w:pPr>
              <w:jc w:val="center"/>
            </w:pPr>
            <w:r>
              <w:rPr/>
              <w:t xml:space="preserve">4.2</w:t>
            </w:r>
          </w:p>
        </w:tc>
        <w:tc>
          <w:tcPr>
            <w:tcW w:w="5000" w:type="dxa"/>
          </w:tcPr>
          <w:p>
            <w:pPr/>
            <w:r>
              <w:rPr/>
              <w:t xml:space="preserve">Kompetence k plánování a organizování práce</w:t>
            </w:r>
          </w:p>
        </w:tc>
        <w:tc>
          <w:tcPr>
            <w:tcW w:w="2000" w:type="dxa"/>
          </w:tcPr>
          <w:p>
            <w:pPr>
              <w:jc w:val="center"/>
            </w:pPr>
            <w:r>
              <w:rPr/>
              <w:t xml:space="preserve">1</w:t>
            </w:r>
          </w:p>
        </w:tc>
      </w:tr>
    </w:tbl>
    <w:p>
      <w:pPr/>
      <w:r>
        <w:rPr>
          <w:sz w:val="16"/>
          <w:szCs w:val="16"/>
          <w:i w:val="1"/>
          <w:iCs w:val="1"/>
        </w:rPr>
        <w:t xml:space="preserve">Popisy úrovní naleznete zde: https://nsp.cz/downloads/Priloha_c9_manualu.pdf</w:t>
      </w:r>
    </w:p>
    <w:p/>
    <w:p>
      <w:pPr>
        <w:pStyle w:val="Heading2"/>
      </w:pPr>
      <w:bookmarkStart w:id="19" w:name="_Toc19"/>
      <w:r>
        <w:t>Zdravotní podmínky</w:t>
      </w:r>
      <w:bookmarkEnd w:id="19"/>
    </w:p>
    <w:p>
      <w:pPr>
        <w:pStyle w:val="Heading3"/>
      </w:pPr>
      <w:bookmarkStart w:id="20" w:name="_Toc20"/>
      <w:r>
        <w:t>Onemocnění omezující výkon povolání / specializace povolání.</w:t>
      </w:r>
      <w:bookmarkEnd w:id="20"/>
    </w:p>
    <w:p>
      <w:pPr>
        <w:numPr>
          <w:ilvl w:val="0"/>
          <w:numId w:val="5"/>
        </w:numPr>
      </w:pPr>
      <w:r>
        <w:rPr/>
        <w:t xml:space="preserve">Závažná degenerativní a zánětlivá onemocnění pohybového systému</w:t>
      </w:r>
    </w:p>
    <w:p>
      <w:pPr>
        <w:numPr>
          <w:ilvl w:val="0"/>
          <w:numId w:val="5"/>
        </w:numPr>
      </w:pPr>
      <w:r>
        <w:rPr/>
        <w:t xml:space="preserve">Prognosticky závažná endokrinní onemocnění včetně diabetes mellitus</w:t>
      </w:r>
    </w:p>
    <w:p>
      <w:pPr>
        <w:numPr>
          <w:ilvl w:val="0"/>
          <w:numId w:val="5"/>
        </w:numPr>
      </w:pPr>
      <w:r>
        <w:rPr/>
        <w:t xml:space="preserve">Závrať jakékoliv etiologie</w:t>
      </w:r>
    </w:p>
    <w:p>
      <w:pPr>
        <w:numPr>
          <w:ilvl w:val="0"/>
          <w:numId w:val="5"/>
        </w:numPr>
      </w:pPr>
      <w:r>
        <w:rPr/>
        <w:t xml:space="preserve">Drogová závislost v anamnéze</w:t>
      </w:r>
    </w:p>
    <w:p>
      <w:pPr>
        <w:pStyle w:val="Heading3"/>
      </w:pPr>
      <w:bookmarkStart w:id="21" w:name="_Toc21"/>
      <w:r>
        <w:t>Onemocnění vylučující výkon povolání / specializace povolání.e</w:t>
      </w:r>
      <w:bookmarkEnd w:id="21"/>
    </w:p>
    <w:p>
      <w:pPr>
        <w:numPr>
          <w:ilvl w:val="0"/>
          <w:numId w:val="5"/>
        </w:numPr>
      </w:pPr>
      <w:r>
        <w:rPr/>
        <w:t xml:space="preserve">Záchvatovité a kolapsové stavy</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7D85E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Obsluha stavebních strojů kompresorů</dc:title>
  <dc:description>Obsluha stavebních strojů kompresorů, obsluhuje mobilní a stacionární druhy kompresorů na stavbách.</dc:description>
  <dc:subject/>
  <cp:keywords/>
  <cp:category>Specializace</cp:category>
  <cp:lastModifiedBy/>
  <dcterms:created xsi:type="dcterms:W3CDTF">2017-11-22T09:40:57+01:00</dcterms:created>
  <dcterms:modified xsi:type="dcterms:W3CDTF">2024-03-26T10:03:33+01:00</dcterms:modified>
</cp:coreProperties>
</file>

<file path=docProps/custom.xml><?xml version="1.0" encoding="utf-8"?>
<Properties xmlns="http://schemas.openxmlformats.org/officeDocument/2006/custom-properties" xmlns:vt="http://schemas.openxmlformats.org/officeDocument/2006/docPropsVTypes"/>
</file>