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Elektroinženýr pro biomedicínské stroje a přístroje</w:t>
      </w:r>
      <w:bookmarkEnd w:id="1"/>
    </w:p>
    <w:p>
      <w:pPr/>
      <w:r>
        <w:rPr/>
        <w:t xml:space="preserve">Elektroinženýr pro biomedicínské stroje a přístroje řídí tým techniků a podílí se na vývoji, výrobě, diagnostice, instalacích a opravách všech typů strojů a přístrojů pro biomedicínu.</w:t>
      </w:r>
    </w:p>
    <w:p/>
    <w:tbl>
      <w:tblGrid>
        <w:gridCol w:w="3000" w:type="dxa"/>
        <w:gridCol w:w="6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/>
            <w:r>
              <w:rPr>
                <w:b w:val="1"/>
                <w:bCs w:val="1"/>
              </w:rPr>
              <w:t xml:space="preserve">Odborný směr:</w:t>
            </w:r>
          </w:p>
        </w:tc>
        <w:tc>
          <w:tcPr>
            <w:tcW w:w="6000" w:type="dxa"/>
          </w:tcPr>
          <w:p>
            <w:pPr/>
            <w:r>
              <w:rPr/>
              <w:t xml:space="preserve">Elektrotechnika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Odborný podsměr:</w:t>
            </w:r>
          </w:p>
        </w:tc>
        <w:tc>
          <w:tcPr/>
          <w:p>
            <w:pPr/>
            <w:r>
              <w:rPr/>
              <w:t xml:space="preserve">výroba a opravy elektronických zařízení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Další odborné podsměry:</w:t>
            </w:r>
          </w:p>
        </w:tc>
        <w:tc>
          <w:tcPr/>
          <w:p>
            <w:pPr/>
            <w:r>
              <w:rPr/>
              <w:t xml:space="preserve">nezařazeno do odborného podsměru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Kvalifikační úroveň:</w:t>
            </w:r>
          </w:p>
        </w:tc>
        <w:tc>
          <w:tcPr/>
          <w:p>
            <w:pPr/>
            <w:r>
              <w:rPr/>
              <w:t xml:space="preserve">Magisterský studijní program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Alternativní názvy:</w:t>
            </w:r>
          </w:p>
        </w:tc>
        <w:tc>
          <w:tcPr/>
          <w:p>
            <w:pPr/>
            <w:r>
              <w:rPr/>
              <w:t xml:space="preserve">Samostatný elektrotechnik pro biomedicínské přístroje, Engineer for biomedical devices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Regulovaná jednotka práce:</w:t>
            </w:r>
          </w:p>
        </w:tc>
        <w:tc>
          <w:tcPr/>
          <w:p>
            <w:pPr/>
            <w:r>
              <w:rPr/>
              <w:t xml:space="preserve">ne</w:t>
            </w:r>
          </w:p>
        </w:tc>
      </w:tr>
    </w:tbl>
    <w:p/>
    <w:p>
      <w:pPr>
        <w:pStyle w:val="Heading2"/>
      </w:pPr>
      <w:bookmarkStart w:id="2" w:name="_Toc2"/>
      <w:r>
        <w:t>Pracovní činnosti</w:t>
      </w:r>
      <w:bookmarkEnd w:id="2"/>
    </w:p>
    <w:p>
      <w:pPr>
        <w:numPr>
          <w:ilvl w:val="0"/>
          <w:numId w:val="5"/>
        </w:numPr>
      </w:pPr>
      <w:r>
        <w:rPr/>
        <w:t xml:space="preserve">Studium odborné literatury a technické dokumentace k biomedicínským strojům a přístrojům.</w:t>
      </w:r>
    </w:p>
    <w:p>
      <w:pPr>
        <w:numPr>
          <w:ilvl w:val="0"/>
          <w:numId w:val="5"/>
        </w:numPr>
      </w:pPr>
      <w:r>
        <w:rPr/>
        <w:t xml:space="preserve">Dodržování elektrotechnických norem a jejich aplikace při práci s konkrétním biomedicínským strojem a přístrojem.</w:t>
      </w:r>
    </w:p>
    <w:p>
      <w:pPr>
        <w:numPr>
          <w:ilvl w:val="0"/>
          <w:numId w:val="5"/>
        </w:numPr>
      </w:pPr>
      <w:r>
        <w:rPr/>
        <w:t xml:space="preserve">Spolupráce při vývoji a výrobě biomedicínských strojů a přístrojů.</w:t>
      </w:r>
    </w:p>
    <w:p>
      <w:pPr>
        <w:numPr>
          <w:ilvl w:val="0"/>
          <w:numId w:val="5"/>
        </w:numPr>
      </w:pPr>
      <w:r>
        <w:rPr/>
        <w:t xml:space="preserve">Řízení týmu techniků při výrobě biomedicínských strojů a přístrojů.</w:t>
      </w:r>
    </w:p>
    <w:p>
      <w:pPr>
        <w:numPr>
          <w:ilvl w:val="0"/>
          <w:numId w:val="5"/>
        </w:numPr>
      </w:pPr>
      <w:r>
        <w:rPr/>
        <w:t xml:space="preserve">Tvorba technické a provozní dokumentace k biomedicínským strojů a přístrojům.</w:t>
      </w:r>
    </w:p>
    <w:p>
      <w:pPr>
        <w:numPr>
          <w:ilvl w:val="0"/>
          <w:numId w:val="5"/>
        </w:numPr>
      </w:pPr>
      <w:r>
        <w:rPr/>
        <w:t xml:space="preserve">Zabezpečení a kontrola funkce a provozuschopnosti biomedicínských strojů a přístrojů.</w:t>
      </w:r>
    </w:p>
    <w:p>
      <w:pPr>
        <w:numPr>
          <w:ilvl w:val="0"/>
          <w:numId w:val="5"/>
        </w:numPr>
      </w:pPr>
      <w:r>
        <w:rPr/>
        <w:t xml:space="preserve">Řízení postupů prací při instalaci a opravách biomedicínských strojů a přístrojů.</w:t>
      </w:r>
    </w:p>
    <w:p>
      <w:pPr>
        <w:numPr>
          <w:ilvl w:val="0"/>
          <w:numId w:val="5"/>
        </w:numPr>
      </w:pPr>
      <w:r>
        <w:rPr/>
        <w:t xml:space="preserve">Diagnostika poruch a závad biomedicínských strojů a přístrojů a jejich sestav včetně souvisejících informačních a komunikačních technologií.</w:t>
      </w:r>
    </w:p>
    <w:p>
      <w:pPr>
        <w:numPr>
          <w:ilvl w:val="0"/>
          <w:numId w:val="5"/>
        </w:numPr>
      </w:pPr>
      <w:r>
        <w:rPr/>
        <w:t xml:space="preserve">Vedení provozní dokumentace.</w:t>
      </w:r>
    </w:p>
    <w:p>
      <w:pPr>
        <w:numPr>
          <w:ilvl w:val="0"/>
          <w:numId w:val="5"/>
        </w:numPr>
      </w:pPr>
      <w:r>
        <w:rPr/>
        <w:t xml:space="preserve">Zaškolení obsluhy biomedicínských strojů a přístrojů.</w:t>
      </w:r>
    </w:p>
    <w:p/>
    <w:p>
      <w:pPr>
        <w:pStyle w:val="Heading2"/>
      </w:pPr>
      <w:bookmarkStart w:id="3" w:name="_Toc3"/>
      <w:r>
        <w:t>CZ-ISCO</w:t>
      </w:r>
      <w:bookmarkEnd w:id="3"/>
    </w:p>
    <w:p>
      <w:pPr>
        <w:numPr>
          <w:ilvl w:val="0"/>
          <w:numId w:val="5"/>
        </w:numPr>
      </w:pPr>
      <w:r>
        <w:rPr/>
        <w:t xml:space="preserve">Ostatní inženýři elektrotechnici a energetici</w:t>
      </w:r>
    </w:p>
    <w:p>
      <w:pPr>
        <w:numPr>
          <w:ilvl w:val="0"/>
          <w:numId w:val="5"/>
        </w:numPr>
      </w:pPr>
      <w:r>
        <w:rPr/>
        <w:t xml:space="preserve">Inženýři elektrotechnici a energetici</w:t>
      </w:r>
    </w:p>
    <w:p/>
    <w:p>
      <w:pPr>
        <w:pStyle w:val="Heading3"/>
      </w:pPr>
      <w:bookmarkStart w:id="4" w:name="_Toc4"/>
      <w:r>
        <w:t>Hrubé měsíční mzdy podle krajů v roce 2025</w:t>
      </w:r>
      <w:bookmarkEnd w:id="4"/>
    </w:p>
    <w:p>
      <w:pPr>
        <w:pStyle w:val="Heading4"/>
      </w:pPr>
      <w:bookmarkStart w:id="5" w:name="_Toc5"/>
      <w:r>
        <w:t>Inženýři elektrotechnici a energetici (CZ-ISCO 2151)</w:t>
      </w:r>
      <w:bookmarkEnd w:id="5"/>
    </w:p>
    <w:tbl>
      <w:tblGrid>
        <w:gridCol w:w="2400" w:type="dxa"/>
        <w:gridCol w:w="1100" w:type="dxa"/>
        <w:gridCol w:w="1100" w:type="dxa"/>
        <w:gridCol w:w="1100" w:type="dxa"/>
        <w:gridCol w:w="1100" w:type="dxa"/>
        <w:gridCol w:w="1100" w:type="dxa"/>
        <w:gridCol w:w="11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400" w:type="dxa"/>
          </w:tcPr>
          <w:p/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2400" w:type="dxa"/>
          </w:tcPr>
          <w:p>
            <w:pPr/>
            <w:r>
              <w:rPr>
                <w:b w:val="1"/>
                <w:bCs w:val="1"/>
              </w:rPr>
              <w:t xml:space="preserve">Kraj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Hlavní město Praha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58 534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87 511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135 213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Středočeský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54 494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81 541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122 056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Jihočeský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56 990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92 800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151 618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Plzeňský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53 268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78 933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138 682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Karlovarský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52 156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65 802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115 256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Ústecký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44 464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85 967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141 840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Liberecký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51 426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67 366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97 657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Královéhradecký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54 498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75 200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110 185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Pardubický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51 538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74 488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102 149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Kraj Vysočina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24 879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95 345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158 358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Jihomoravský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48 840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69 249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112 637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Olomoucký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47 798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65 616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93 784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Zlínský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49 560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65 169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104 614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Moravskoslezský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51 102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73 864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109 525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</w:tbl>
    <w:p/>
    <w:p>
      <w:pPr>
        <w:pStyle w:val="Heading3"/>
      </w:pPr>
      <w:bookmarkStart w:id="6" w:name="_Toc6"/>
      <w:r>
        <w:t>Hrubé měsíční mzdy v roce 2025 celkem</w:t>
      </w:r>
      <w:bookmarkEnd w:id="6"/>
    </w:p>
    <w:tbl>
      <w:tblGrid>
        <w:gridCol w:w="1000" w:type="dxa"/>
        <w:gridCol w:w="2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  <w:gridSpan w:val="2"/>
          </w:tcPr>
          <w:p/>
        </w:tc>
        <w:tc>
          <w:tcPr>
            <w:tcW w:w="6000" w:type="dxa"/>
            <w:gridSpan w:val="2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 za ČR celkem</w:t>
            </w:r>
          </w:p>
        </w:tc>
      </w:tr>
      <w:tr>
        <w:trPr/>
        <w:tc>
          <w:tcPr>
            <w:tcW w:w="1000" w:type="dxa"/>
          </w:tcPr>
          <w:p>
            <w:pPr/>
            <w:r>
              <w:rPr>
                <w:b w:val="1"/>
                <w:bCs w:val="1"/>
              </w:rPr>
              <w:t xml:space="preserve">CZ-ISCO</w:t>
            </w:r>
          </w:p>
        </w:tc>
        <w:tc>
          <w:tcPr>
            <w:tcW w:w="2000" w:type="dxa"/>
          </w:tcPr>
          <w:p/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2151</w:t>
            </w:r>
          </w:p>
        </w:tc>
        <w:tc>
          <w:tcPr>
            <w:tcW w:w="2000" w:type="dxa"/>
          </w:tcPr>
          <w:p>
            <w:pPr/>
            <w:r>
              <w:rPr/>
              <w:t xml:space="preserve">Inženýři elektrotechnici a energetici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48 996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78 553 Kč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21519</w:t>
            </w:r>
          </w:p>
        </w:tc>
        <w:tc>
          <w:tcPr>
            <w:tcW w:w="2000" w:type="dxa"/>
          </w:tcPr>
          <w:p>
            <w:pPr/>
            <w:r>
              <w:rPr/>
              <w:t xml:space="preserve">Ostatní inženýři elektrotechnici a energetici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-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85 117 Kč</w:t>
            </w:r>
          </w:p>
        </w:tc>
      </w:tr>
    </w:tbl>
    <w:p/>
    <w:p>
      <w:pPr>
        <w:pStyle w:val="Heading2"/>
      </w:pPr>
      <w:bookmarkStart w:id="7" w:name="_Toc7"/>
      <w:r>
        <w:t>ESCO</w:t>
      </w:r>
      <w:bookmarkEnd w:id="7"/>
    </w:p>
    <w:tbl>
      <w:tblGrid>
        <w:gridCol w:w="3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 podskupiny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 podskupiny v ESCO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URL - podskupiny v ESCO</w:t>
            </w:r>
          </w:p>
        </w:tc>
      </w:tr>
      <w:tr>
        <w:trPr/>
        <w:tc>
          <w:tcPr>
            <w:tcW w:w="3000" w:type="dxa"/>
          </w:tcPr>
          <w:p>
            <w:pPr/>
            <w:r>
              <w:rPr/>
              <w:t xml:space="preserve">2151</w:t>
            </w:r>
          </w:p>
        </w:tc>
        <w:tc>
          <w:tcPr>
            <w:tcW w:w="3000" w:type="dxa"/>
          </w:tcPr>
          <w:p>
            <w:pPr/>
            <w:r>
              <w:rPr/>
              <w:t xml:space="preserve">Inženýři elektrotechnici a energetici</w:t>
            </w:r>
          </w:p>
        </w:tc>
        <w:tc>
          <w:tcPr>
            <w:tcW w:w="3000" w:type="dxa"/>
          </w:tcPr>
          <w:p>
            <w:pPr/>
            <w:r>
              <w:rPr/>
              <w:t xml:space="preserve">http://data.europa.eu/esco/isco/C2151</w:t>
            </w:r>
          </w:p>
        </w:tc>
      </w:tr>
    </w:tbl>
    <w:p/>
    <w:p/>
    <w:p/>
    <w:p>
      <w:pPr>
        <w:pStyle w:val="Heading2"/>
      </w:pPr>
      <w:bookmarkStart w:id="8" w:name="_Toc8"/>
      <w:r>
        <w:t>Pracovní podmínky</w:t>
      </w:r>
      <w:bookmarkEnd w:id="8"/>
    </w:p>
    <w:p>
      <w:pPr/>
      <w:r>
        <w:rPr/>
        <w:t xml:space="preserve">Rizikové faktory pracovních podmínek a vyskytující se druhy zátěže upravuje nařízení vlády č. 361/2007 Sb., kterým se stanoví podmínky ochrany zdraví při práci, zákon č. 258/2000 Sb., o ochraně veřejného zdraví a zákon č. 262/2006 Sb., zákoník práce. Vždy vyplývají z pracovních podmínek, které se vztahují ke konkrétnímu zaměstnavateli, tudíž se mohou u různých zaměstnavatelů lišit.</w:t>
      </w:r>
    </w:p>
    <w:p/>
    <w:p>
      <w:pPr/>
      <w:r>
        <w:rPr/>
        <w:t xml:space="preserve">Určení míry výskytu faktorů, které mohou ovlivnit zdraví při práci vychází z druhu práce vykonávané na pracovišti. Faktory se zařazují do čtyř kategorií dle míry zdravotního rizika a jeho vlivu na zdraví. O zařazení prací do třetí nebo čtvrté kategorie rozhoduje příslušný orgán ochrany veřejného zdraví.</w:t>
      </w:r>
    </w:p>
    <w:p/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1. Stupeň zátěže (minimální zdravotní riziko) - Faktor se při výkonu práce nevyskytuje nebo je zátěž faktorem minimální, vliv faktoru je ze zdravotního hlediska nevýznamný.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2. Stupeň zátěže (únosná míra zdravotního rizika) - Ze zdravotního hlediska je míra zátěže faktorem únosná, nepřekračuje limity stanovené předpisy, vliv faktoru je akceptovatelný pro zdravého člověka.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3. Stupeň zátěže (významná míra zdravotního rizika) - Úroveň zátěže překračuje stanovené limitní hodnoty expozice (zátěže), na pracovištích je nutná realizace náhradních technických a organizačních opatření, nelze vyloučit negativní vliv na zdraví pracovníků.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4. Stupeň zátěže (vysoká míra zdravotního rizika) - Úroveň zátěže vysoce překračuje stanovené limitní hodnoty expozice, na pracovištích musí být dodržován soubor preventivních opatření, častěji dochází k poškození zdraví.</w:t>
      </w:r>
    </w:p>
    <w:p/>
    <w:p/>
    <w:p>
      <w:pPr>
        <w:pStyle w:val="Heading2"/>
      </w:pPr>
      <w:bookmarkStart w:id="9" w:name="_Toc9"/>
      <w:r>
        <w:t>Kvalifikace k výkonu povolání</w:t>
      </w:r>
      <w:bookmarkEnd w:id="9"/>
    </w:p>
    <w:p>
      <w:pPr>
        <w:pStyle w:val="Heading3"/>
      </w:pPr>
      <w:bookmarkStart w:id="10" w:name="_Toc10"/>
      <w:r>
        <w:t>Školní vzdělání</w:t>
      </w:r>
      <w:bookmarkEnd w:id="10"/>
    </w:p>
    <w:p/>
    <w:p>
      <w:pPr>
        <w:pStyle w:val="Heading4"/>
      </w:pPr>
      <w:bookmarkStart w:id="11" w:name="_Toc11"/>
      <w:r>
        <w:t>Nejvhodnější školní přípravu poskytují obory:</w:t>
      </w:r>
      <w:bookmarkEnd w:id="11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Magisterský studijní program v oboru slaboproudá elektrotechnika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2601T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Magisterský studijní program v oboru specializace ve zdravotnictví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5345T</w:t>
            </w:r>
          </w:p>
        </w:tc>
      </w:tr>
    </w:tbl>
    <w:p/>
    <w:p>
      <w:pPr>
        <w:pStyle w:val="Heading4"/>
      </w:pPr>
      <w:bookmarkStart w:id="12" w:name="_Toc12"/>
      <w:r>
        <w:t>Vhodnou školní přípravu poskytují také obory:</w:t>
      </w:r>
      <w:bookmarkEnd w:id="12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Magisterský studijní program v oboru elektrotechnická specializace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2609T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Magisterský studijní program v oboru elektrotechnika a informatika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2612T</w:t>
            </w:r>
          </w:p>
        </w:tc>
      </w:tr>
    </w:tbl>
    <w:p>
      <w:pPr>
        <w:pStyle w:val="Heading3"/>
      </w:pPr>
      <w:bookmarkStart w:id="13" w:name="_Toc13"/>
      <w:r>
        <w:t>Legislativní požadavky</w:t>
      </w:r>
      <w:bookmarkEnd w:id="13"/>
    </w:p>
    <w:p>
      <w:pPr>
        <w:numPr>
          <w:ilvl w:val="0"/>
          <w:numId w:val="5"/>
        </w:numPr>
      </w:pPr>
      <w:r>
        <w:rPr/>
        <w:t xml:space="preserve">povinné - Odborná způsobilost podle zákona č. 250/2021 Sb., o bezpečnosti práce v souvislosti s provozem vyhrazených technických zařízení a nařízení vlády č. 194/2022 Sb., o požadavcích na odbornou způsobilost k výkonu činnosti na elektrických zařízeních a na odbornou způsobilost v elektrotechnice</w:t>
      </w:r>
    </w:p>
    <w:p>
      <w:pPr>
        <w:numPr>
          <w:ilvl w:val="0"/>
          <w:numId w:val="5"/>
        </w:numPr>
      </w:pPr>
      <w:r>
        <w:rPr/>
        <w:t xml:space="preserve">povinné - Odborná způsobilost podle zákona č. 250/2021 Sb., o bezpečnosti práce v souvislosti s provozem vyhrazených technických zařízení a nařízení vlády č. 194/2022 Sb., o požadavcích na odbornou způsobilost k výkonu činnosti na elektrických zařízeních a na odbornou způsobilost v elektrotechnice</w:t>
      </w:r>
    </w:p>
    <w:p/>
    <w:p/>
    <w:p>
      <w:pPr>
        <w:pStyle w:val="Heading2"/>
      </w:pPr>
      <w:bookmarkStart w:id="14" w:name="_Toc14"/>
      <w:r>
        <w:t>Kompetenční požadavky</w:t>
      </w:r>
      <w:bookmarkEnd w:id="14"/>
    </w:p>
    <w:p>
      <w:pPr>
        <w:pStyle w:val="Heading3"/>
      </w:pPr>
      <w:bookmarkStart w:id="15" w:name="_Toc15"/>
      <w:r>
        <w:t>Odborné dovednosti</w:t>
      </w:r>
      <w:bookmarkEnd w:id="15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e81.D.4001</w:t>
            </w:r>
          </w:p>
        </w:tc>
        <w:tc>
          <w:tcPr>
            <w:tcW w:w="3000" w:type="dxa"/>
          </w:tcPr>
          <w:p>
            <w:pPr/>
            <w:r>
              <w:rPr/>
              <w:t xml:space="preserve">Měření elektrických veličin, vyhodnocení naměřených hodnot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k15.D.3011</w:t>
            </w:r>
          </w:p>
        </w:tc>
        <w:tc>
          <w:tcPr>
            <w:tcW w:w="3000" w:type="dxa"/>
          </w:tcPr>
          <w:p>
            <w:pPr/>
            <w:r>
              <w:rPr/>
              <w:t xml:space="preserve">Provádění kontrol stavu a funkčnosti zdravotnické techniky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k15.D.7012</w:t>
            </w:r>
          </w:p>
        </w:tc>
        <w:tc>
          <w:tcPr>
            <w:tcW w:w="3000" w:type="dxa"/>
          </w:tcPr>
          <w:p>
            <w:pPr/>
            <w:r>
              <w:rPr/>
              <w:t xml:space="preserve">Podílení se na vývoji zdravotnických přístrojů nebo jejich doplňků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k15.D.7013</w:t>
            </w:r>
          </w:p>
        </w:tc>
        <w:tc>
          <w:tcPr>
            <w:tcW w:w="3000" w:type="dxa"/>
          </w:tcPr>
          <w:p>
            <w:pPr/>
            <w:r>
              <w:rPr/>
              <w:t xml:space="preserve">Vytváření potřebných modulů klinických informačních systémů včetně vytváření modifikací softwaru pro diagnostické zobrazovací zdravotnické přístroje, popř. tvorba vlastního software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k15.D.8011</w:t>
            </w:r>
          </w:p>
        </w:tc>
        <w:tc>
          <w:tcPr>
            <w:tcW w:w="3000" w:type="dxa"/>
          </w:tcPr>
          <w:p>
            <w:pPr/>
            <w:r>
              <w:rPr/>
              <w:t xml:space="preserve">Vedení příslušné dokumentace v oblasti biomedicíny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k15.C.6011</w:t>
            </w:r>
          </w:p>
        </w:tc>
        <w:tc>
          <w:tcPr>
            <w:tcW w:w="3000" w:type="dxa"/>
          </w:tcPr>
          <w:p>
            <w:pPr/>
            <w:r>
              <w:rPr/>
              <w:t xml:space="preserve">Provádění instruktáží zdravotnických pracovníků v oblasti obsluhy zdravotnických přístrojů a bezpečnosti práce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k15.A.4012</w:t>
            </w:r>
          </w:p>
        </w:tc>
        <w:tc>
          <w:tcPr>
            <w:tcW w:w="3000" w:type="dxa"/>
          </w:tcPr>
          <w:p>
            <w:pPr/>
            <w:r>
              <w:rPr/>
              <w:t xml:space="preserve">Provádění kalibrace a oprav zdravotnické techniky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e81.D.1040</w:t>
            </w:r>
          </w:p>
        </w:tc>
        <w:tc>
          <w:tcPr>
            <w:tcW w:w="3000" w:type="dxa"/>
          </w:tcPr>
          <w:p>
            <w:pPr/>
            <w:r>
              <w:rPr/>
              <w:t xml:space="preserve">Orientace v problematice narušení technických prostředků vlivem EMC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e81.D.1018</w:t>
            </w:r>
          </w:p>
        </w:tc>
        <w:tc>
          <w:tcPr>
            <w:tcW w:w="3000" w:type="dxa"/>
          </w:tcPr>
          <w:p>
            <w:pPr/>
            <w:r>
              <w:rPr/>
              <w:t xml:space="preserve">Čtení technické dokumentace, výkresů a schémat a používání této dokumentace při práci na elektrotechnických a elektronických zařízeních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k15.A.4041</w:t>
            </w:r>
          </w:p>
        </w:tc>
        <w:tc>
          <w:tcPr>
            <w:tcW w:w="3000" w:type="dxa"/>
          </w:tcPr>
          <w:p>
            <w:pPr/>
            <w:r>
              <w:rPr/>
              <w:t xml:space="preserve">Zajišťování provozuschopnosti zdravotnické techniky, kontrola a zabezpečení činnosti související s jejím provozem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k15.D.6010</w:t>
            </w:r>
          </w:p>
        </w:tc>
        <w:tc>
          <w:tcPr>
            <w:tcW w:w="3000" w:type="dxa"/>
          </w:tcPr>
          <w:p>
            <w:pPr/>
            <w:r>
              <w:rPr/>
              <w:t xml:space="preserve">Diagnostika závad zdravotnické techniky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k15.C.1000</w:t>
            </w:r>
          </w:p>
        </w:tc>
        <w:tc>
          <w:tcPr>
            <w:tcW w:w="3000" w:type="dxa"/>
          </w:tcPr>
          <w:p>
            <w:pPr/>
            <w:r>
              <w:rPr/>
              <w:t xml:space="preserve">Řízení techniků pro biomedicínské stroje a přístroje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6" w:name="_Toc16"/>
      <w:r>
        <w:t>Odborné znalosti</w:t>
      </w:r>
      <w:bookmarkEnd w:id="16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e81._.0010</w:t>
            </w:r>
          </w:p>
        </w:tc>
        <w:tc>
          <w:tcPr>
            <w:tcW w:w="3000" w:type="dxa"/>
          </w:tcPr>
          <w:p>
            <w:pPr/>
            <w:r>
              <w:rPr/>
              <w:t xml:space="preserve">jištění elektrických obvodů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k15._.0001</w:t>
            </w:r>
          </w:p>
        </w:tc>
        <w:tc>
          <w:tcPr>
            <w:tcW w:w="3000" w:type="dxa"/>
          </w:tcPr>
          <w:p>
            <w:pPr/>
            <w:r>
              <w:rPr/>
              <w:t xml:space="preserve">zdravotnická diagnostická a měřicí technika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k15._.0002</w:t>
            </w:r>
          </w:p>
        </w:tc>
        <w:tc>
          <w:tcPr>
            <w:tcW w:w="3000" w:type="dxa"/>
          </w:tcPr>
          <w:p>
            <w:pPr/>
            <w:r>
              <w:rPr/>
              <w:t xml:space="preserve">radiodiagnostika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k15._.0003</w:t>
            </w:r>
          </w:p>
        </w:tc>
        <w:tc>
          <w:tcPr>
            <w:tcW w:w="3000" w:type="dxa"/>
          </w:tcPr>
          <w:p>
            <w:pPr/>
            <w:r>
              <w:rPr/>
              <w:t xml:space="preserve">anesteziologická technika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k15._.0004</w:t>
            </w:r>
          </w:p>
        </w:tc>
        <w:tc>
          <w:tcPr>
            <w:tcW w:w="3000" w:type="dxa"/>
          </w:tcPr>
          <w:p>
            <w:pPr/>
            <w:r>
              <w:rPr/>
              <w:t xml:space="preserve">transfuzní technika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e81._.0002</w:t>
            </w:r>
          </w:p>
        </w:tc>
        <w:tc>
          <w:tcPr>
            <w:tcW w:w="3000" w:type="dxa"/>
          </w:tcPr>
          <w:p>
            <w:pPr/>
            <w:r>
              <w:rPr/>
              <w:t xml:space="preserve">elektrotechnické materiály, vodiče, kabely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e81._.0003</w:t>
            </w:r>
          </w:p>
        </w:tc>
        <w:tc>
          <w:tcPr>
            <w:tcW w:w="3000" w:type="dxa"/>
          </w:tcPr>
          <w:p>
            <w:pPr/>
            <w:r>
              <w:rPr/>
              <w:t xml:space="preserve">technické kreslení v elektrotechnice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e81._.0004</w:t>
            </w:r>
          </w:p>
        </w:tc>
        <w:tc>
          <w:tcPr>
            <w:tcW w:w="3000" w:type="dxa"/>
          </w:tcPr>
          <w:p>
            <w:pPr/>
            <w:r>
              <w:rPr/>
              <w:t xml:space="preserve">měření elektrických veličin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e81._.0015</w:t>
            </w:r>
          </w:p>
        </w:tc>
        <w:tc>
          <w:tcPr>
            <w:tcW w:w="3000" w:type="dxa"/>
          </w:tcPr>
          <w:p>
            <w:pPr/>
            <w:r>
              <w:rPr/>
              <w:t xml:space="preserve">elektrické stroje a přístroje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e81._.0021</w:t>
            </w:r>
          </w:p>
        </w:tc>
        <w:tc>
          <w:tcPr>
            <w:tcW w:w="3000" w:type="dxa"/>
          </w:tcPr>
          <w:p>
            <w:pPr/>
            <w:r>
              <w:rPr/>
              <w:t xml:space="preserve">elektronika obecně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e81._.0023</w:t>
            </w:r>
          </w:p>
        </w:tc>
        <w:tc>
          <w:tcPr>
            <w:tcW w:w="3000" w:type="dxa"/>
          </w:tcPr>
          <w:p>
            <w:pPr/>
            <w:r>
              <w:rPr/>
              <w:t xml:space="preserve">elektronické a číslicové obvody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e81._.0034</w:t>
            </w:r>
          </w:p>
        </w:tc>
        <w:tc>
          <w:tcPr>
            <w:tcW w:w="3000" w:type="dxa"/>
          </w:tcPr>
          <w:p>
            <w:pPr/>
            <w:r>
              <w:rPr/>
              <w:t xml:space="preserve">elektronické měřicí přístroje a systémy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5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e81._.0090</w:t>
            </w:r>
          </w:p>
        </w:tc>
        <w:tc>
          <w:tcPr>
            <w:tcW w:w="3000" w:type="dxa"/>
          </w:tcPr>
          <w:p>
            <w:pPr/>
            <w:r>
              <w:rPr/>
              <w:t xml:space="preserve">normy elektrických obvodů a instalací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j21._.0021</w:t>
            </w:r>
          </w:p>
        </w:tc>
        <w:tc>
          <w:tcPr>
            <w:tcW w:w="3000" w:type="dxa"/>
          </w:tcPr>
          <w:p>
            <w:pPr/>
            <w:r>
              <w:rPr/>
              <w:t xml:space="preserve">vlastnosti informačních systémů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e81._.0007</w:t>
            </w:r>
          </w:p>
        </w:tc>
        <w:tc>
          <w:tcPr>
            <w:tcW w:w="3000" w:type="dxa"/>
          </w:tcPr>
          <w:p>
            <w:pPr/>
            <w:r>
              <w:rPr/>
              <w:t xml:space="preserve">základy elektromagnetické kompatibility (EMC), pojmy a vztahy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e81._.0045</w:t>
            </w:r>
          </w:p>
        </w:tc>
        <w:tc>
          <w:tcPr>
            <w:tcW w:w="3000" w:type="dxa"/>
          </w:tcPr>
          <w:p>
            <w:pPr/>
            <w:r>
              <w:rPr/>
              <w:t xml:space="preserve">předpisy a technické normy v elektrotechnice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7" w:name="_Toc17"/>
      <w:r>
        <w:t>Digitální kompetence</w:t>
      </w:r>
      <w:bookmarkEnd w:id="17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Prohlížení, vyhledávání a filtrování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5.3</w:t>
            </w:r>
          </w:p>
        </w:tc>
        <w:tc>
          <w:tcPr>
            <w:tcW w:w="5000" w:type="dxa"/>
          </w:tcPr>
          <w:p>
            <w:pPr/>
            <w:r>
              <w:rPr/>
              <w:t xml:space="preserve">Kreativní využívání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5.2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potřeb a výběr vhodných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5.1</w:t>
            </w:r>
          </w:p>
        </w:tc>
        <w:tc>
          <w:tcPr>
            <w:tcW w:w="5000" w:type="dxa"/>
          </w:tcPr>
          <w:p>
            <w:pPr/>
            <w:r>
              <w:rPr/>
              <w:t xml:space="preserve">Řešení technických problémů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životního prostředí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4.3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zdraví a duševní pohody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osobních dat a soukromí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zařízení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3.3</w:t>
            </w:r>
          </w:p>
        </w:tc>
        <w:tc>
          <w:tcPr>
            <w:tcW w:w="5000" w:type="dxa"/>
          </w:tcPr>
          <w:p>
            <w:pPr/>
            <w:r>
              <w:rPr/>
              <w:t xml:space="preserve">Autorská práva a licence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3.2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Integrace a přepracování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3.1</w:t>
            </w:r>
          </w:p>
        </w:tc>
        <w:tc>
          <w:tcPr>
            <w:tcW w:w="5000" w:type="dxa"/>
          </w:tcPr>
          <w:p>
            <w:pPr/>
            <w:r>
              <w:rPr/>
              <w:t xml:space="preserve">Tvorba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2.5</w:t>
            </w:r>
          </w:p>
        </w:tc>
        <w:tc>
          <w:tcPr>
            <w:tcW w:w="5000" w:type="dxa"/>
          </w:tcPr>
          <w:p>
            <w:pPr/>
            <w:r>
              <w:rPr/>
              <w:t xml:space="preserve">Netiketa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2.4</w:t>
            </w:r>
          </w:p>
        </w:tc>
        <w:tc>
          <w:tcPr>
            <w:tcW w:w="5000" w:type="dxa"/>
          </w:tcPr>
          <w:p>
            <w:pPr/>
            <w:r>
              <w:rPr/>
              <w:t xml:space="preserve">Spolupráce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Sdílení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Interakce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1.3</w:t>
            </w:r>
          </w:p>
        </w:tc>
        <w:tc>
          <w:tcPr>
            <w:tcW w:w="5000" w:type="dxa"/>
          </w:tcPr>
          <w:p>
            <w:pPr/>
            <w:r>
              <w:rPr/>
              <w:t xml:space="preserve">Správa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Hodnocení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5.4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nedostatků v digitálních kompetencích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https://nsp.cz/downloads/Priloha_c15_manualu.pdf</w:t>
      </w:r>
    </w:p>
    <w:p/>
    <w:p>
      <w:pPr>
        <w:pStyle w:val="Heading3"/>
      </w:pPr>
      <w:bookmarkStart w:id="18" w:name="_Toc18"/>
      <w:r>
        <w:t>Měkké kompetence</w:t>
      </w:r>
      <w:bookmarkEnd w:id="18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0-5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kreativitě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5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flexibilitě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4.5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samostatnosti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řešení problémů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celoživotnímu vzdělávání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aktivnímu přístupu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objevování a orientaci v informacích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https://nsp.cz/downloads/Priloha_c9_manualu.pdf</w:t>
      </w:r>
    </w:p>
    <w:p/>
    <w:p>
      <w:pPr>
        <w:pStyle w:val="Heading2"/>
      </w:pPr>
      <w:bookmarkStart w:id="19" w:name="_Toc19"/>
      <w:r>
        <w:t>Zdravotní podmínky</w:t>
      </w:r>
      <w:bookmarkEnd w:id="19"/>
    </w:p>
    <w:p>
      <w:pPr>
        <w:pStyle w:val="Heading3"/>
      </w:pPr>
      <w:bookmarkStart w:id="20" w:name="_Toc20"/>
      <w:r>
        <w:t>Onemocnění omezující výkon povolání / specializace povolání.</w:t>
      </w:r>
      <w:bookmarkEnd w:id="20"/>
    </w:p>
    <w:p>
      <w:pPr>
        <w:numPr>
          <w:ilvl w:val="0"/>
          <w:numId w:val="5"/>
        </w:numPr>
      </w:pPr>
      <w:r>
        <w:rPr/>
        <w:t xml:space="preserve">Závažná onemocnění dýchacích cest a plic</w:t>
      </w:r>
    </w:p>
    <w:p>
      <w:pPr>
        <w:numPr>
          <w:ilvl w:val="0"/>
          <w:numId w:val="5"/>
        </w:numPr>
      </w:pPr>
      <w:r>
        <w:rPr/>
        <w:t xml:space="preserve">Chronická onemocnění jater</w:t>
      </w:r>
    </w:p>
    <w:p>
      <w:pPr>
        <w:numPr>
          <w:ilvl w:val="0"/>
          <w:numId w:val="5"/>
        </w:numPr>
      </w:pPr>
      <w:r>
        <w:rPr/>
        <w:t xml:space="preserve">Závažná orgánová onemocnění podle druhu neionizujícího záření</w:t>
      </w:r>
    </w:p>
    <w:p>
      <w:pPr>
        <w:numPr>
          <w:ilvl w:val="0"/>
          <w:numId w:val="5"/>
        </w:numPr>
      </w:pPr>
      <w:r>
        <w:rPr/>
        <w:t xml:space="preserve">Duševní poruchy a poruchy chování</w:t>
      </w:r>
    </w:p>
    <w:p>
      <w:pPr>
        <w:numPr>
          <w:ilvl w:val="0"/>
          <w:numId w:val="5"/>
        </w:numPr>
      </w:pPr>
      <w:r>
        <w:rPr/>
        <w:t xml:space="preserve">Drogová závislost v anamnéze</w:t>
      </w:r>
    </w:p>
    <w:p>
      <w:pPr>
        <w:numPr>
          <w:ilvl w:val="0"/>
          <w:numId w:val="5"/>
        </w:numPr>
      </w:pPr>
      <w:r>
        <w:rPr/>
        <w:t xml:space="preserve">Závažná nervová onemocnění a psychosomatická onemocnění</w:t>
      </w:r>
    </w:p>
    <w:p>
      <w:pPr>
        <w:pStyle w:val="Heading3"/>
      </w:pPr>
      <w:bookmarkStart w:id="21" w:name="_Toc21"/>
      <w:r>
        <w:t>Onemocnění vylučující výkon povolání / specializace povolání.e</w:t>
      </w:r>
      <w:bookmarkEnd w:id="21"/>
    </w:p>
    <w:p>
      <w:pPr>
        <w:numPr>
          <w:ilvl w:val="0"/>
          <w:numId w:val="5"/>
        </w:numPr>
      </w:pPr>
      <w:r>
        <w:rPr/>
        <w:t xml:space="preserve">Prognosticky závažné imunodeficitní stavy</w:t>
      </w:r>
    </w:p>
    <w:p>
      <w:pPr>
        <w:numPr>
          <w:ilvl w:val="0"/>
          <w:numId w:val="5"/>
        </w:numPr>
      </w:pPr>
      <w:r>
        <w:rPr/>
        <w:t xml:space="preserve">Osoby s kardiostimulátorem</w:t>
      </w:r>
    </w:p>
    <w:p>
      <w:pPr>
        <w:numPr>
          <w:ilvl w:val="0"/>
          <w:numId w:val="5"/>
        </w:numPr>
      </w:pPr>
      <w:r>
        <w:rPr/>
        <w:t xml:space="preserve">Záchvatovité a kolapsové stavy</w:t>
      </w:r>
    </w:p>
    <w:p>
      <w:pPr/>
      <w:r>
        <w:rPr>
          <w:sz w:val="16"/>
          <w:szCs w:val="16"/>
          <w:i w:val="1"/>
          <w:iCs w:val="1"/>
        </w:rPr>
        <w:t xml:space="preserve">Přesné posouzení zdravotního stavu s následným doporučením nebo nedoporučením výkonu této pozice je možné pouze po konzultaci s lékařem.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5">
    <w:nsid w:val="B275E3BC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after="120"/>
    </w:pPr>
    <w:rPr>
      <w:sz w:val="40"/>
      <w:szCs w:val="40"/>
      <w:b w:val="1"/>
      <w:bCs w:val="1"/>
    </w:rPr>
  </w:style>
  <w:style w:type="paragraph" w:styleId="Heading2">
    <w:link w:val="Heading2Char"/>
    <w:name w:val="heading 2"/>
    <w:basedOn w:val="Normal"/>
    <w:pPr>
      <w:spacing w:after="80"/>
    </w:pPr>
    <w:rPr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spacing w:after="60"/>
    </w:pPr>
    <w:rPr>
      <w:sz w:val="24"/>
      <w:szCs w:val="24"/>
      <w:b w:val="1"/>
      <w:bCs w:val="1"/>
    </w:rPr>
  </w:style>
  <w:style w:type="paragraph" w:styleId="Heading4">
    <w:link w:val="Heading4Char"/>
    <w:name w:val="heading 4"/>
    <w:basedOn w:val="Normal"/>
    <w:pPr>
      <w:spacing w:after="6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FDV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NSP.CZ</dc:creator>
  <dc:title>Elektroinženýr pro biomedicínské stroje a přístroje</dc:title>
  <dc:description>Elektroinženýr pro biomedicínské stroje a přístroje řídí tým techniků a podílí se na vývoji, výrobě, diagnostice, instalacích a opravách všech typů strojů a přístrojů pro biomedicínu.</dc:description>
  <dc:subject/>
  <cp:keywords/>
  <cp:category>Povolání</cp:category>
  <cp:lastModifiedBy/>
  <dcterms:created xsi:type="dcterms:W3CDTF">2017-11-22T09:39:52+01:00</dcterms:created>
  <dcterms:modified xsi:type="dcterms:W3CDTF">2024-03-26T10:03:33+01:00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